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CB4" w:rsidRDefault="00793CB4" w:rsidP="00793CB4">
      <w:pPr>
        <w:spacing w:before="120" w:after="0" w:line="240" w:lineRule="exact"/>
        <w:jc w:val="center"/>
        <w:rPr>
          <w:b/>
        </w:rPr>
      </w:pPr>
      <w:r>
        <w:rPr>
          <w:b/>
        </w:rPr>
        <w:t>PHỤ LỤC II</w:t>
      </w:r>
    </w:p>
    <w:p w:rsidR="003006AC" w:rsidRDefault="00783042" w:rsidP="00793CB4">
      <w:pPr>
        <w:spacing w:before="120" w:after="0" w:line="240" w:lineRule="exact"/>
        <w:jc w:val="center"/>
        <w:rPr>
          <w:b/>
        </w:rPr>
      </w:pPr>
      <w:r w:rsidRPr="00BF7507">
        <w:rPr>
          <w:b/>
        </w:rPr>
        <w:t>Bảng so sánh diện tích hữu hiệu của mặt cắt hầm đường sắt tốc độ cao</w:t>
      </w:r>
    </w:p>
    <w:p w:rsidR="00793CB4" w:rsidRDefault="00793CB4" w:rsidP="00793CB4">
      <w:pPr>
        <w:spacing w:before="120" w:after="0" w:line="240" w:lineRule="exact"/>
        <w:jc w:val="center"/>
        <w:rPr>
          <w:bCs/>
          <w:i/>
        </w:rPr>
      </w:pPr>
      <w:r w:rsidRPr="00EE4E66">
        <w:rPr>
          <w:bCs/>
          <w:i/>
        </w:rPr>
        <w:t xml:space="preserve">(gửi kèm theo công văn số:      /CĐSVN-KHCN&amp;MT ngày    /5/2018 </w:t>
      </w:r>
    </w:p>
    <w:p w:rsidR="00793CB4" w:rsidRDefault="00793CB4" w:rsidP="00793CB4">
      <w:pPr>
        <w:spacing w:before="120" w:after="0" w:line="240" w:lineRule="exact"/>
        <w:jc w:val="center"/>
        <w:rPr>
          <w:bCs/>
          <w:i/>
        </w:rPr>
      </w:pPr>
      <w:r w:rsidRPr="00EE4E66">
        <w:rPr>
          <w:bCs/>
          <w:i/>
        </w:rPr>
        <w:t>của Cục Đường sắt Việt Nam)</w:t>
      </w:r>
    </w:p>
    <w:p w:rsidR="00793CB4" w:rsidRPr="00BF7507" w:rsidRDefault="00793CB4" w:rsidP="00793CB4">
      <w:pPr>
        <w:spacing w:before="120" w:after="0" w:line="240" w:lineRule="exact"/>
        <w:jc w:val="center"/>
        <w:rPr>
          <w:b/>
        </w:rPr>
      </w:pPr>
    </w:p>
    <w:tbl>
      <w:tblPr>
        <w:tblStyle w:val="TableGrid"/>
        <w:tblW w:w="10343" w:type="dxa"/>
        <w:tblLook w:val="04A0" w:firstRow="1" w:lastRow="0" w:firstColumn="1" w:lastColumn="0" w:noHBand="0" w:noVBand="1"/>
      </w:tblPr>
      <w:tblGrid>
        <w:gridCol w:w="562"/>
        <w:gridCol w:w="1418"/>
        <w:gridCol w:w="2694"/>
        <w:gridCol w:w="1559"/>
        <w:gridCol w:w="1559"/>
        <w:gridCol w:w="2551"/>
      </w:tblGrid>
      <w:tr w:rsidR="00BF7507" w:rsidTr="00BF7507">
        <w:tc>
          <w:tcPr>
            <w:tcW w:w="562" w:type="dxa"/>
            <w:vMerge w:val="restart"/>
          </w:tcPr>
          <w:p w:rsidR="00BF7507" w:rsidRDefault="00BF7507" w:rsidP="00793CB4">
            <w:pPr>
              <w:jc w:val="center"/>
            </w:pPr>
            <w:r>
              <w:t>TT</w:t>
            </w:r>
          </w:p>
        </w:tc>
        <w:tc>
          <w:tcPr>
            <w:tcW w:w="1418" w:type="dxa"/>
            <w:vMerge w:val="restart"/>
          </w:tcPr>
          <w:p w:rsidR="00BF7507" w:rsidRDefault="00BF7507" w:rsidP="00793CB4">
            <w:pPr>
              <w:jc w:val="center"/>
            </w:pPr>
            <w:r>
              <w:t>Tên nước</w:t>
            </w:r>
          </w:p>
        </w:tc>
        <w:tc>
          <w:tcPr>
            <w:tcW w:w="2694" w:type="dxa"/>
            <w:vMerge w:val="restart"/>
          </w:tcPr>
          <w:p w:rsidR="00BF7507" w:rsidRDefault="00BF7507" w:rsidP="00793CB4">
            <w:pPr>
              <w:jc w:val="center"/>
            </w:pPr>
            <w:r>
              <w:t>Tên tuyến</w:t>
            </w:r>
          </w:p>
        </w:tc>
        <w:tc>
          <w:tcPr>
            <w:tcW w:w="3118" w:type="dxa"/>
            <w:gridSpan w:val="2"/>
          </w:tcPr>
          <w:p w:rsidR="00BF7507" w:rsidRPr="00783042" w:rsidRDefault="00BF7507" w:rsidP="00793CB4">
            <w:pPr>
              <w:jc w:val="center"/>
              <w:rPr>
                <w:vertAlign w:val="superscript"/>
              </w:rPr>
            </w:pPr>
            <w:r>
              <w:t>Tốc độ, km/h</w:t>
            </w:r>
          </w:p>
        </w:tc>
        <w:tc>
          <w:tcPr>
            <w:tcW w:w="2551" w:type="dxa"/>
            <w:vMerge w:val="restart"/>
          </w:tcPr>
          <w:p w:rsidR="00BF7507" w:rsidRPr="00783042" w:rsidRDefault="00BF7507" w:rsidP="00793CB4">
            <w:pPr>
              <w:jc w:val="center"/>
              <w:rPr>
                <w:vertAlign w:val="superscript"/>
              </w:rPr>
            </w:pPr>
            <w:r>
              <w:t>Diện tích hữu hiệu của mặt cắt hầm đôi, m</w:t>
            </w:r>
            <w:r>
              <w:rPr>
                <w:vertAlign w:val="superscript"/>
              </w:rPr>
              <w:t>2</w:t>
            </w:r>
          </w:p>
        </w:tc>
      </w:tr>
      <w:tr w:rsidR="00BF7507" w:rsidTr="00BF7507">
        <w:tc>
          <w:tcPr>
            <w:tcW w:w="562" w:type="dxa"/>
            <w:vMerge/>
          </w:tcPr>
          <w:p w:rsidR="00BF7507" w:rsidRDefault="00BF7507" w:rsidP="00793CB4">
            <w:pPr>
              <w:jc w:val="center"/>
            </w:pPr>
          </w:p>
        </w:tc>
        <w:tc>
          <w:tcPr>
            <w:tcW w:w="1418" w:type="dxa"/>
            <w:vMerge/>
          </w:tcPr>
          <w:p w:rsidR="00BF7507" w:rsidRDefault="00BF7507" w:rsidP="00793CB4"/>
        </w:tc>
        <w:tc>
          <w:tcPr>
            <w:tcW w:w="2694" w:type="dxa"/>
            <w:vMerge/>
          </w:tcPr>
          <w:p w:rsidR="00BF7507" w:rsidRDefault="00BF7507" w:rsidP="00793CB4"/>
        </w:tc>
        <w:tc>
          <w:tcPr>
            <w:tcW w:w="1559" w:type="dxa"/>
          </w:tcPr>
          <w:p w:rsidR="00BF7507" w:rsidRDefault="00BF7507" w:rsidP="00793CB4">
            <w:pPr>
              <w:jc w:val="center"/>
            </w:pPr>
            <w:r>
              <w:t>Thiết kế</w:t>
            </w:r>
          </w:p>
        </w:tc>
        <w:tc>
          <w:tcPr>
            <w:tcW w:w="1559" w:type="dxa"/>
          </w:tcPr>
          <w:p w:rsidR="00BF7507" w:rsidRDefault="00BF7507" w:rsidP="00793CB4">
            <w:pPr>
              <w:jc w:val="center"/>
            </w:pPr>
            <w:r>
              <w:t>Tốc độ khai thác</w:t>
            </w:r>
          </w:p>
        </w:tc>
        <w:tc>
          <w:tcPr>
            <w:tcW w:w="2551" w:type="dxa"/>
            <w:vMerge/>
          </w:tcPr>
          <w:p w:rsidR="00BF7507" w:rsidRDefault="00BF7507" w:rsidP="00793CB4">
            <w:pPr>
              <w:jc w:val="center"/>
            </w:pPr>
          </w:p>
        </w:tc>
      </w:tr>
      <w:tr w:rsidR="002058B9" w:rsidTr="00BF7507">
        <w:tc>
          <w:tcPr>
            <w:tcW w:w="562" w:type="dxa"/>
            <w:vMerge w:val="restart"/>
          </w:tcPr>
          <w:p w:rsidR="002058B9" w:rsidRDefault="002058B9" w:rsidP="00793CB4">
            <w:pPr>
              <w:jc w:val="center"/>
            </w:pPr>
            <w:r>
              <w:t>1</w:t>
            </w:r>
          </w:p>
        </w:tc>
        <w:tc>
          <w:tcPr>
            <w:tcW w:w="1418" w:type="dxa"/>
            <w:vMerge w:val="restart"/>
          </w:tcPr>
          <w:p w:rsidR="002058B9" w:rsidRDefault="002058B9" w:rsidP="00793CB4">
            <w:r>
              <w:t>Nhật Bản</w:t>
            </w:r>
          </w:p>
        </w:tc>
        <w:tc>
          <w:tcPr>
            <w:tcW w:w="2694" w:type="dxa"/>
          </w:tcPr>
          <w:p w:rsidR="002058B9" w:rsidRDefault="002058B9" w:rsidP="00793CB4">
            <w:r>
              <w:t>Tokyo – Shin Osaka</w:t>
            </w:r>
            <w:r w:rsidR="00237D61">
              <w:t xml:space="preserve"> (năm khai thác: 1964)</w:t>
            </w:r>
          </w:p>
        </w:tc>
        <w:tc>
          <w:tcPr>
            <w:tcW w:w="1559" w:type="dxa"/>
          </w:tcPr>
          <w:p w:rsidR="002058B9" w:rsidRDefault="002058B9" w:rsidP="00793CB4">
            <w:pPr>
              <w:jc w:val="center"/>
            </w:pPr>
            <w:r>
              <w:t>250</w:t>
            </w:r>
          </w:p>
        </w:tc>
        <w:tc>
          <w:tcPr>
            <w:tcW w:w="1559" w:type="dxa"/>
          </w:tcPr>
          <w:p w:rsidR="002058B9" w:rsidRDefault="002058B9" w:rsidP="00793CB4">
            <w:pPr>
              <w:jc w:val="center"/>
            </w:pPr>
            <w:r>
              <w:t>275(*)</w:t>
            </w:r>
          </w:p>
        </w:tc>
        <w:tc>
          <w:tcPr>
            <w:tcW w:w="2551" w:type="dxa"/>
          </w:tcPr>
          <w:p w:rsidR="002058B9" w:rsidRDefault="002058B9" w:rsidP="00793CB4">
            <w:pPr>
              <w:jc w:val="center"/>
            </w:pPr>
            <w:r>
              <w:t>60.5</w:t>
            </w:r>
          </w:p>
        </w:tc>
      </w:tr>
      <w:tr w:rsidR="002058B9" w:rsidTr="00BF7507">
        <w:tc>
          <w:tcPr>
            <w:tcW w:w="562" w:type="dxa"/>
            <w:vMerge/>
          </w:tcPr>
          <w:p w:rsidR="002058B9" w:rsidRDefault="002058B9" w:rsidP="00793CB4">
            <w:pPr>
              <w:jc w:val="center"/>
            </w:pPr>
          </w:p>
        </w:tc>
        <w:tc>
          <w:tcPr>
            <w:tcW w:w="1418" w:type="dxa"/>
            <w:vMerge/>
          </w:tcPr>
          <w:p w:rsidR="002058B9" w:rsidRDefault="002058B9" w:rsidP="00793CB4"/>
        </w:tc>
        <w:tc>
          <w:tcPr>
            <w:tcW w:w="2694" w:type="dxa"/>
          </w:tcPr>
          <w:p w:rsidR="002058B9" w:rsidRDefault="002058B9" w:rsidP="00793CB4">
            <w:r>
              <w:t>Tokyo – Shin Aomori</w:t>
            </w:r>
            <w:r w:rsidR="00237D61">
              <w:t xml:space="preserve"> (năm khai thác: 2010)</w:t>
            </w:r>
          </w:p>
        </w:tc>
        <w:tc>
          <w:tcPr>
            <w:tcW w:w="1559" w:type="dxa"/>
          </w:tcPr>
          <w:p w:rsidR="002058B9" w:rsidRDefault="002058B9" w:rsidP="00793CB4">
            <w:pPr>
              <w:jc w:val="center"/>
            </w:pPr>
            <w:r>
              <w:t>260</w:t>
            </w:r>
          </w:p>
        </w:tc>
        <w:tc>
          <w:tcPr>
            <w:tcW w:w="1559" w:type="dxa"/>
          </w:tcPr>
          <w:p w:rsidR="002058B9" w:rsidRDefault="002058B9" w:rsidP="00793CB4">
            <w:pPr>
              <w:jc w:val="center"/>
            </w:pPr>
            <w:r>
              <w:t>300 (*)</w:t>
            </w:r>
          </w:p>
        </w:tc>
        <w:tc>
          <w:tcPr>
            <w:tcW w:w="2551" w:type="dxa"/>
          </w:tcPr>
          <w:p w:rsidR="002058B9" w:rsidRDefault="002058B9" w:rsidP="00793CB4">
            <w:pPr>
              <w:jc w:val="center"/>
            </w:pPr>
            <w:r>
              <w:t>63.4</w:t>
            </w:r>
          </w:p>
        </w:tc>
      </w:tr>
      <w:tr w:rsidR="002058B9" w:rsidTr="00BF7507">
        <w:tc>
          <w:tcPr>
            <w:tcW w:w="562" w:type="dxa"/>
            <w:vMerge/>
          </w:tcPr>
          <w:p w:rsidR="002058B9" w:rsidRDefault="002058B9" w:rsidP="00793CB4">
            <w:pPr>
              <w:jc w:val="center"/>
            </w:pPr>
          </w:p>
        </w:tc>
        <w:tc>
          <w:tcPr>
            <w:tcW w:w="1418" w:type="dxa"/>
            <w:vMerge/>
          </w:tcPr>
          <w:p w:rsidR="002058B9" w:rsidRDefault="002058B9" w:rsidP="00793CB4"/>
        </w:tc>
        <w:tc>
          <w:tcPr>
            <w:tcW w:w="2694" w:type="dxa"/>
          </w:tcPr>
          <w:p w:rsidR="002058B9" w:rsidRDefault="002058B9" w:rsidP="00793CB4">
            <w:r>
              <w:t xml:space="preserve">Hakata Kagoshima chuo </w:t>
            </w:r>
            <w:r w:rsidR="00237D61">
              <w:t>(năm khai thác: 1975)</w:t>
            </w:r>
            <w:r>
              <w:t xml:space="preserve"> </w:t>
            </w:r>
          </w:p>
        </w:tc>
        <w:tc>
          <w:tcPr>
            <w:tcW w:w="1559" w:type="dxa"/>
          </w:tcPr>
          <w:p w:rsidR="002058B9" w:rsidRDefault="002058B9" w:rsidP="00793CB4">
            <w:pPr>
              <w:jc w:val="center"/>
            </w:pPr>
            <w:r>
              <w:t>260</w:t>
            </w:r>
          </w:p>
        </w:tc>
        <w:tc>
          <w:tcPr>
            <w:tcW w:w="1559" w:type="dxa"/>
          </w:tcPr>
          <w:p w:rsidR="002058B9" w:rsidRDefault="002058B9" w:rsidP="00793CB4">
            <w:pPr>
              <w:jc w:val="center"/>
            </w:pPr>
            <w:r>
              <w:t>260</w:t>
            </w:r>
          </w:p>
        </w:tc>
        <w:tc>
          <w:tcPr>
            <w:tcW w:w="2551" w:type="dxa"/>
          </w:tcPr>
          <w:p w:rsidR="002058B9" w:rsidRDefault="002058B9" w:rsidP="00793CB4">
            <w:pPr>
              <w:jc w:val="center"/>
            </w:pPr>
            <w:r>
              <w:t>63.5</w:t>
            </w:r>
          </w:p>
        </w:tc>
      </w:tr>
      <w:tr w:rsidR="002058B9" w:rsidTr="00BF7507">
        <w:tc>
          <w:tcPr>
            <w:tcW w:w="562" w:type="dxa"/>
          </w:tcPr>
          <w:p w:rsidR="002058B9" w:rsidRDefault="002058B9" w:rsidP="00793CB4">
            <w:pPr>
              <w:jc w:val="center"/>
            </w:pPr>
            <w:r>
              <w:t>2</w:t>
            </w:r>
          </w:p>
        </w:tc>
        <w:tc>
          <w:tcPr>
            <w:tcW w:w="1418" w:type="dxa"/>
          </w:tcPr>
          <w:p w:rsidR="002058B9" w:rsidRDefault="002058B9" w:rsidP="00793CB4">
            <w:r>
              <w:t>Đài Loan</w:t>
            </w:r>
          </w:p>
        </w:tc>
        <w:tc>
          <w:tcPr>
            <w:tcW w:w="2694" w:type="dxa"/>
          </w:tcPr>
          <w:p w:rsidR="002058B9" w:rsidRDefault="002058B9" w:rsidP="00793CB4">
            <w:r>
              <w:t>Đài Bắc – Cao Hùng</w:t>
            </w:r>
            <w:r w:rsidR="00237D61">
              <w:t xml:space="preserve"> (năm khai thác: 2007)</w:t>
            </w:r>
          </w:p>
        </w:tc>
        <w:tc>
          <w:tcPr>
            <w:tcW w:w="1559" w:type="dxa"/>
          </w:tcPr>
          <w:p w:rsidR="002058B9" w:rsidRDefault="002058B9" w:rsidP="00793CB4">
            <w:pPr>
              <w:jc w:val="center"/>
            </w:pPr>
            <w:r>
              <w:t>350</w:t>
            </w:r>
          </w:p>
        </w:tc>
        <w:tc>
          <w:tcPr>
            <w:tcW w:w="1559" w:type="dxa"/>
          </w:tcPr>
          <w:p w:rsidR="002058B9" w:rsidRDefault="002058B9" w:rsidP="00793CB4">
            <w:pPr>
              <w:jc w:val="center"/>
            </w:pPr>
            <w:r>
              <w:t>300</w:t>
            </w:r>
          </w:p>
        </w:tc>
        <w:tc>
          <w:tcPr>
            <w:tcW w:w="2551" w:type="dxa"/>
          </w:tcPr>
          <w:p w:rsidR="002058B9" w:rsidRDefault="002058B9" w:rsidP="00793CB4">
            <w:pPr>
              <w:jc w:val="center"/>
            </w:pPr>
            <w:r>
              <w:t>90</w:t>
            </w:r>
          </w:p>
        </w:tc>
      </w:tr>
      <w:tr w:rsidR="004A0C88" w:rsidRPr="004A0C88" w:rsidTr="00BF7507">
        <w:tc>
          <w:tcPr>
            <w:tcW w:w="562" w:type="dxa"/>
            <w:vMerge w:val="restart"/>
          </w:tcPr>
          <w:p w:rsidR="004A0C88" w:rsidRPr="004A0C88" w:rsidRDefault="00CD519E" w:rsidP="00793CB4">
            <w:pPr>
              <w:jc w:val="center"/>
            </w:pPr>
            <w:r>
              <w:t>3</w:t>
            </w:r>
          </w:p>
        </w:tc>
        <w:tc>
          <w:tcPr>
            <w:tcW w:w="1418" w:type="dxa"/>
            <w:vMerge w:val="restart"/>
          </w:tcPr>
          <w:p w:rsidR="004A0C88" w:rsidRPr="004A0C88" w:rsidRDefault="004A0C88" w:rsidP="00793CB4">
            <w:r w:rsidRPr="004A0C88">
              <w:t>Pháp</w:t>
            </w:r>
          </w:p>
        </w:tc>
        <w:tc>
          <w:tcPr>
            <w:tcW w:w="2694" w:type="dxa"/>
          </w:tcPr>
          <w:p w:rsidR="004A0C88" w:rsidRPr="004A0C88" w:rsidRDefault="004A0C88" w:rsidP="00793CB4">
            <w:r w:rsidRPr="004A0C88">
              <w:t>Paris – Le Mans Courtalan Saint Pellerin – Tours</w:t>
            </w:r>
            <w:r w:rsidR="00237D61">
              <w:t xml:space="preserve"> (năm khai thác: 1990)</w:t>
            </w:r>
          </w:p>
        </w:tc>
        <w:tc>
          <w:tcPr>
            <w:tcW w:w="1559" w:type="dxa"/>
          </w:tcPr>
          <w:p w:rsidR="004A0C88" w:rsidRPr="004A0C88" w:rsidRDefault="004A0C88" w:rsidP="00793CB4">
            <w:pPr>
              <w:jc w:val="center"/>
            </w:pPr>
            <w:r w:rsidRPr="004A0C88">
              <w:t>330</w:t>
            </w:r>
          </w:p>
        </w:tc>
        <w:tc>
          <w:tcPr>
            <w:tcW w:w="1559" w:type="dxa"/>
          </w:tcPr>
          <w:p w:rsidR="004A0C88" w:rsidRPr="004A0C88" w:rsidRDefault="004A0C88" w:rsidP="00793CB4">
            <w:pPr>
              <w:jc w:val="center"/>
            </w:pPr>
            <w:r w:rsidRPr="004A0C88">
              <w:t>300</w:t>
            </w:r>
          </w:p>
        </w:tc>
        <w:tc>
          <w:tcPr>
            <w:tcW w:w="2551" w:type="dxa"/>
          </w:tcPr>
          <w:p w:rsidR="00CD519E" w:rsidRDefault="004A0C88" w:rsidP="00793CB4">
            <w:pPr>
              <w:jc w:val="center"/>
            </w:pPr>
            <w:r w:rsidRPr="004A0C88">
              <w:t xml:space="preserve">71 </w:t>
            </w:r>
          </w:p>
          <w:p w:rsidR="004A0C88" w:rsidRPr="004A0C88" w:rsidRDefault="004A0C88" w:rsidP="00793CB4">
            <w:pPr>
              <w:jc w:val="center"/>
            </w:pPr>
            <w:r w:rsidRPr="004A0C88">
              <w:t>(Hầm đơn: 46)</w:t>
            </w:r>
          </w:p>
        </w:tc>
      </w:tr>
      <w:tr w:rsidR="004A0C88" w:rsidRPr="004A0C88" w:rsidTr="00BF7507">
        <w:tc>
          <w:tcPr>
            <w:tcW w:w="562" w:type="dxa"/>
            <w:vMerge/>
          </w:tcPr>
          <w:p w:rsidR="004A0C88" w:rsidRPr="004A0C88" w:rsidRDefault="004A0C88" w:rsidP="00793CB4">
            <w:pPr>
              <w:jc w:val="center"/>
            </w:pPr>
          </w:p>
        </w:tc>
        <w:tc>
          <w:tcPr>
            <w:tcW w:w="1418" w:type="dxa"/>
            <w:vMerge/>
          </w:tcPr>
          <w:p w:rsidR="004A0C88" w:rsidRPr="004A0C88" w:rsidRDefault="004A0C88" w:rsidP="00793CB4"/>
        </w:tc>
        <w:tc>
          <w:tcPr>
            <w:tcW w:w="2694" w:type="dxa"/>
          </w:tcPr>
          <w:p w:rsidR="004A0C88" w:rsidRPr="004A0C88" w:rsidRDefault="004A0C88" w:rsidP="00793CB4">
            <w:r w:rsidRPr="004A0C88">
              <w:t>Contournemant Lyon</w:t>
            </w:r>
            <w:r w:rsidR="00237D61">
              <w:t xml:space="preserve"> (năm khai thác: 1994)</w:t>
            </w:r>
          </w:p>
        </w:tc>
        <w:tc>
          <w:tcPr>
            <w:tcW w:w="1559" w:type="dxa"/>
          </w:tcPr>
          <w:p w:rsidR="004A0C88" w:rsidRPr="004A0C88" w:rsidRDefault="004A0C88" w:rsidP="00793CB4">
            <w:pPr>
              <w:jc w:val="center"/>
            </w:pPr>
            <w:r w:rsidRPr="004A0C88">
              <w:t>300</w:t>
            </w:r>
          </w:p>
        </w:tc>
        <w:tc>
          <w:tcPr>
            <w:tcW w:w="1559" w:type="dxa"/>
          </w:tcPr>
          <w:p w:rsidR="004A0C88" w:rsidRPr="004A0C88" w:rsidRDefault="004A0C88" w:rsidP="00793CB4">
            <w:pPr>
              <w:jc w:val="center"/>
            </w:pPr>
            <w:r w:rsidRPr="004A0C88">
              <w:t>300</w:t>
            </w:r>
          </w:p>
        </w:tc>
        <w:tc>
          <w:tcPr>
            <w:tcW w:w="2551" w:type="dxa"/>
          </w:tcPr>
          <w:p w:rsidR="004A0C88" w:rsidRPr="004A0C88" w:rsidRDefault="004A0C88" w:rsidP="00793CB4">
            <w:pPr>
              <w:jc w:val="center"/>
            </w:pPr>
            <w:r w:rsidRPr="004A0C88">
              <w:t>100</w:t>
            </w:r>
          </w:p>
        </w:tc>
      </w:tr>
      <w:tr w:rsidR="004A0C88" w:rsidRPr="004A0C88" w:rsidTr="00BF7507">
        <w:tc>
          <w:tcPr>
            <w:tcW w:w="562" w:type="dxa"/>
            <w:vMerge/>
          </w:tcPr>
          <w:p w:rsidR="004A0C88" w:rsidRPr="004A0C88" w:rsidRDefault="004A0C88" w:rsidP="00793CB4">
            <w:pPr>
              <w:jc w:val="center"/>
            </w:pPr>
          </w:p>
        </w:tc>
        <w:tc>
          <w:tcPr>
            <w:tcW w:w="1418" w:type="dxa"/>
            <w:vMerge/>
          </w:tcPr>
          <w:p w:rsidR="004A0C88" w:rsidRPr="004A0C88" w:rsidRDefault="004A0C88" w:rsidP="00793CB4"/>
        </w:tc>
        <w:tc>
          <w:tcPr>
            <w:tcW w:w="2694" w:type="dxa"/>
          </w:tcPr>
          <w:p w:rsidR="004A0C88" w:rsidRPr="004A0C88" w:rsidRDefault="004A0C88" w:rsidP="00793CB4">
            <w:r w:rsidRPr="004A0C88">
              <w:t>Nord (Paris – Bỉ)</w:t>
            </w:r>
            <w:r w:rsidR="00237D61">
              <w:t xml:space="preserve"> (năm khai thác: 1996)</w:t>
            </w:r>
          </w:p>
        </w:tc>
        <w:tc>
          <w:tcPr>
            <w:tcW w:w="1559" w:type="dxa"/>
          </w:tcPr>
          <w:p w:rsidR="004A0C88" w:rsidRPr="004A0C88" w:rsidRDefault="004A0C88" w:rsidP="00793CB4">
            <w:pPr>
              <w:jc w:val="center"/>
            </w:pPr>
            <w:r w:rsidRPr="004A0C88">
              <w:t>350</w:t>
            </w:r>
          </w:p>
        </w:tc>
        <w:tc>
          <w:tcPr>
            <w:tcW w:w="1559" w:type="dxa"/>
          </w:tcPr>
          <w:p w:rsidR="004A0C88" w:rsidRPr="004A0C88" w:rsidRDefault="004A0C88" w:rsidP="00793CB4">
            <w:pPr>
              <w:jc w:val="center"/>
            </w:pPr>
            <w:r w:rsidRPr="004A0C88">
              <w:t>300</w:t>
            </w:r>
          </w:p>
        </w:tc>
        <w:tc>
          <w:tcPr>
            <w:tcW w:w="2551" w:type="dxa"/>
          </w:tcPr>
          <w:p w:rsidR="004A0C88" w:rsidRPr="004A0C88" w:rsidRDefault="004A0C88" w:rsidP="00793CB4">
            <w:pPr>
              <w:jc w:val="center"/>
            </w:pPr>
            <w:r w:rsidRPr="004A0C88">
              <w:t>100</w:t>
            </w:r>
          </w:p>
        </w:tc>
      </w:tr>
      <w:tr w:rsidR="004A0C88" w:rsidRPr="004A0C88" w:rsidTr="00BF7507">
        <w:tc>
          <w:tcPr>
            <w:tcW w:w="562" w:type="dxa"/>
            <w:vMerge/>
          </w:tcPr>
          <w:p w:rsidR="004A0C88" w:rsidRPr="004A0C88" w:rsidRDefault="004A0C88" w:rsidP="00793CB4">
            <w:pPr>
              <w:jc w:val="center"/>
            </w:pPr>
          </w:p>
        </w:tc>
        <w:tc>
          <w:tcPr>
            <w:tcW w:w="1418" w:type="dxa"/>
            <w:vMerge/>
          </w:tcPr>
          <w:p w:rsidR="004A0C88" w:rsidRPr="004A0C88" w:rsidRDefault="004A0C88" w:rsidP="00793CB4"/>
        </w:tc>
        <w:tc>
          <w:tcPr>
            <w:tcW w:w="2694" w:type="dxa"/>
          </w:tcPr>
          <w:p w:rsidR="004A0C88" w:rsidRPr="004A0C88" w:rsidRDefault="004A0C88" w:rsidP="00793CB4">
            <w:r w:rsidRPr="004A0C88">
              <w:t>Med (Marseilles – Valence)</w:t>
            </w:r>
            <w:r w:rsidR="00237D61">
              <w:t xml:space="preserve"> (năm khai thác: ) (năm khai thác: 2001)</w:t>
            </w:r>
          </w:p>
        </w:tc>
        <w:tc>
          <w:tcPr>
            <w:tcW w:w="1559" w:type="dxa"/>
          </w:tcPr>
          <w:p w:rsidR="004A0C88" w:rsidRPr="004A0C88" w:rsidRDefault="004A0C88" w:rsidP="00793CB4">
            <w:pPr>
              <w:jc w:val="center"/>
            </w:pPr>
            <w:r w:rsidRPr="004A0C88">
              <w:t>350</w:t>
            </w:r>
          </w:p>
        </w:tc>
        <w:tc>
          <w:tcPr>
            <w:tcW w:w="1559" w:type="dxa"/>
          </w:tcPr>
          <w:p w:rsidR="004A0C88" w:rsidRPr="004A0C88" w:rsidRDefault="004A0C88" w:rsidP="00793CB4">
            <w:pPr>
              <w:jc w:val="center"/>
            </w:pPr>
            <w:r w:rsidRPr="004A0C88">
              <w:t>300</w:t>
            </w:r>
          </w:p>
        </w:tc>
        <w:tc>
          <w:tcPr>
            <w:tcW w:w="2551" w:type="dxa"/>
          </w:tcPr>
          <w:p w:rsidR="004A0C88" w:rsidRPr="004A0C88" w:rsidRDefault="004A0C88" w:rsidP="00793CB4">
            <w:pPr>
              <w:jc w:val="center"/>
            </w:pPr>
            <w:r w:rsidRPr="004A0C88">
              <w:t>100</w:t>
            </w:r>
          </w:p>
        </w:tc>
      </w:tr>
      <w:tr w:rsidR="004A0C88" w:rsidTr="00BF7507">
        <w:tc>
          <w:tcPr>
            <w:tcW w:w="562" w:type="dxa"/>
            <w:vMerge/>
          </w:tcPr>
          <w:p w:rsidR="004A0C88" w:rsidRPr="004A0C88" w:rsidRDefault="004A0C88" w:rsidP="00793CB4">
            <w:pPr>
              <w:jc w:val="center"/>
            </w:pPr>
          </w:p>
        </w:tc>
        <w:tc>
          <w:tcPr>
            <w:tcW w:w="1418" w:type="dxa"/>
            <w:vMerge/>
          </w:tcPr>
          <w:p w:rsidR="004A0C88" w:rsidRPr="004A0C88" w:rsidRDefault="004A0C88" w:rsidP="00793CB4"/>
        </w:tc>
        <w:tc>
          <w:tcPr>
            <w:tcW w:w="2694" w:type="dxa"/>
          </w:tcPr>
          <w:p w:rsidR="004A0C88" w:rsidRPr="004A0C88" w:rsidRDefault="004A0C88" w:rsidP="00793CB4">
            <w:r w:rsidRPr="004A0C88">
              <w:t>Est (Paris – Baudrecourt)</w:t>
            </w:r>
            <w:r w:rsidR="00237D61">
              <w:t xml:space="preserve"> (năm khai thác: 2010)</w:t>
            </w:r>
          </w:p>
        </w:tc>
        <w:tc>
          <w:tcPr>
            <w:tcW w:w="1559" w:type="dxa"/>
          </w:tcPr>
          <w:p w:rsidR="004A0C88" w:rsidRPr="004A0C88" w:rsidRDefault="004A0C88" w:rsidP="00793CB4">
            <w:pPr>
              <w:jc w:val="center"/>
            </w:pPr>
            <w:r w:rsidRPr="004A0C88">
              <w:t>350</w:t>
            </w:r>
          </w:p>
        </w:tc>
        <w:tc>
          <w:tcPr>
            <w:tcW w:w="1559" w:type="dxa"/>
          </w:tcPr>
          <w:p w:rsidR="004A0C88" w:rsidRPr="004A0C88" w:rsidRDefault="004A0C88" w:rsidP="00793CB4">
            <w:pPr>
              <w:jc w:val="center"/>
            </w:pPr>
            <w:r w:rsidRPr="004A0C88">
              <w:t>320</w:t>
            </w:r>
          </w:p>
        </w:tc>
        <w:tc>
          <w:tcPr>
            <w:tcW w:w="2551" w:type="dxa"/>
          </w:tcPr>
          <w:p w:rsidR="004A0C88" w:rsidRPr="004A0C88" w:rsidRDefault="004A0C88" w:rsidP="00793CB4">
            <w:pPr>
              <w:jc w:val="center"/>
            </w:pPr>
            <w:r w:rsidRPr="004A0C88">
              <w:t>100</w:t>
            </w:r>
          </w:p>
        </w:tc>
      </w:tr>
      <w:tr w:rsidR="00CD519E" w:rsidTr="00BF7507">
        <w:tc>
          <w:tcPr>
            <w:tcW w:w="562" w:type="dxa"/>
            <w:vMerge w:val="restart"/>
          </w:tcPr>
          <w:p w:rsidR="00CD519E" w:rsidRDefault="00CD519E" w:rsidP="00793CB4">
            <w:pPr>
              <w:jc w:val="center"/>
            </w:pPr>
            <w:r>
              <w:t>4</w:t>
            </w:r>
          </w:p>
        </w:tc>
        <w:tc>
          <w:tcPr>
            <w:tcW w:w="1418" w:type="dxa"/>
            <w:vMerge w:val="restart"/>
          </w:tcPr>
          <w:p w:rsidR="00CD519E" w:rsidRDefault="00CD519E" w:rsidP="00793CB4">
            <w:r>
              <w:t>Đức</w:t>
            </w:r>
          </w:p>
        </w:tc>
        <w:tc>
          <w:tcPr>
            <w:tcW w:w="2694" w:type="dxa"/>
          </w:tcPr>
          <w:p w:rsidR="00CD519E" w:rsidRDefault="00CD519E" w:rsidP="00793CB4">
            <w:r>
              <w:t>Hannover – Stuttgart</w:t>
            </w:r>
            <w:r w:rsidR="00237D61">
              <w:t xml:space="preserve"> (năm khai thác: 1991)</w:t>
            </w:r>
          </w:p>
        </w:tc>
        <w:tc>
          <w:tcPr>
            <w:tcW w:w="1559" w:type="dxa"/>
          </w:tcPr>
          <w:p w:rsidR="00CD519E" w:rsidRDefault="00CD519E" w:rsidP="00793CB4">
            <w:pPr>
              <w:jc w:val="center"/>
            </w:pPr>
            <w:r>
              <w:t>300</w:t>
            </w:r>
          </w:p>
        </w:tc>
        <w:tc>
          <w:tcPr>
            <w:tcW w:w="1559" w:type="dxa"/>
          </w:tcPr>
          <w:p w:rsidR="00CD519E" w:rsidRDefault="00CD519E" w:rsidP="00793CB4">
            <w:pPr>
              <w:jc w:val="center"/>
            </w:pPr>
            <w:r>
              <w:t>280</w:t>
            </w:r>
          </w:p>
        </w:tc>
        <w:tc>
          <w:tcPr>
            <w:tcW w:w="2551" w:type="dxa"/>
          </w:tcPr>
          <w:p w:rsidR="00CD519E" w:rsidRDefault="00CD519E" w:rsidP="00793CB4">
            <w:pPr>
              <w:jc w:val="center"/>
            </w:pPr>
            <w:r>
              <w:t>82-84</w:t>
            </w:r>
          </w:p>
        </w:tc>
      </w:tr>
      <w:tr w:rsidR="00CD519E" w:rsidTr="00BF7507">
        <w:tc>
          <w:tcPr>
            <w:tcW w:w="562" w:type="dxa"/>
            <w:vMerge/>
          </w:tcPr>
          <w:p w:rsidR="00CD519E" w:rsidRDefault="00CD519E" w:rsidP="00793CB4">
            <w:pPr>
              <w:jc w:val="center"/>
            </w:pPr>
          </w:p>
        </w:tc>
        <w:tc>
          <w:tcPr>
            <w:tcW w:w="1418" w:type="dxa"/>
            <w:vMerge/>
          </w:tcPr>
          <w:p w:rsidR="00CD519E" w:rsidRDefault="00CD519E" w:rsidP="00793CB4"/>
        </w:tc>
        <w:tc>
          <w:tcPr>
            <w:tcW w:w="2694" w:type="dxa"/>
          </w:tcPr>
          <w:p w:rsidR="00CD519E" w:rsidRDefault="00CD519E" w:rsidP="00793CB4">
            <w:r>
              <w:t>Hannover – Wurzburg</w:t>
            </w:r>
            <w:r w:rsidR="00237D61">
              <w:t xml:space="preserve"> (năm khai thác: 1994)</w:t>
            </w:r>
          </w:p>
        </w:tc>
        <w:tc>
          <w:tcPr>
            <w:tcW w:w="1559" w:type="dxa"/>
          </w:tcPr>
          <w:p w:rsidR="00CD519E" w:rsidRDefault="00CD519E" w:rsidP="00793CB4">
            <w:pPr>
              <w:jc w:val="center"/>
            </w:pPr>
            <w:r>
              <w:t>300</w:t>
            </w:r>
          </w:p>
        </w:tc>
        <w:tc>
          <w:tcPr>
            <w:tcW w:w="1559" w:type="dxa"/>
          </w:tcPr>
          <w:p w:rsidR="00CD519E" w:rsidRDefault="00CD519E" w:rsidP="00793CB4">
            <w:pPr>
              <w:jc w:val="center"/>
            </w:pPr>
            <w:r>
              <w:t>280</w:t>
            </w:r>
          </w:p>
        </w:tc>
        <w:tc>
          <w:tcPr>
            <w:tcW w:w="2551" w:type="dxa"/>
          </w:tcPr>
          <w:p w:rsidR="00CD519E" w:rsidRDefault="00CD519E" w:rsidP="00793CB4">
            <w:pPr>
              <w:jc w:val="center"/>
            </w:pPr>
            <w:r>
              <w:t>100</w:t>
            </w:r>
          </w:p>
        </w:tc>
      </w:tr>
      <w:tr w:rsidR="00CD519E" w:rsidTr="00BF7507">
        <w:tc>
          <w:tcPr>
            <w:tcW w:w="562" w:type="dxa"/>
            <w:vMerge/>
          </w:tcPr>
          <w:p w:rsidR="00CD519E" w:rsidRDefault="00CD519E" w:rsidP="00793CB4">
            <w:pPr>
              <w:jc w:val="center"/>
            </w:pPr>
          </w:p>
        </w:tc>
        <w:tc>
          <w:tcPr>
            <w:tcW w:w="1418" w:type="dxa"/>
            <w:vMerge/>
          </w:tcPr>
          <w:p w:rsidR="00CD519E" w:rsidRDefault="00CD519E" w:rsidP="00793CB4"/>
        </w:tc>
        <w:tc>
          <w:tcPr>
            <w:tcW w:w="2694" w:type="dxa"/>
          </w:tcPr>
          <w:p w:rsidR="00CD519E" w:rsidRDefault="00CD519E" w:rsidP="00793CB4">
            <w:r>
              <w:t xml:space="preserve">Mannheim </w:t>
            </w:r>
            <w:r w:rsidR="00237D61">
              <w:t>–</w:t>
            </w:r>
            <w:r>
              <w:t xml:space="preserve"> Stuttgart</w:t>
            </w:r>
            <w:r w:rsidR="00237D61">
              <w:t xml:space="preserve"> (năm khai thác: 1991)</w:t>
            </w:r>
          </w:p>
        </w:tc>
        <w:tc>
          <w:tcPr>
            <w:tcW w:w="1559" w:type="dxa"/>
          </w:tcPr>
          <w:p w:rsidR="00CD519E" w:rsidRDefault="00CD519E" w:rsidP="00793CB4">
            <w:pPr>
              <w:jc w:val="center"/>
            </w:pPr>
            <w:r>
              <w:t>300</w:t>
            </w:r>
          </w:p>
        </w:tc>
        <w:tc>
          <w:tcPr>
            <w:tcW w:w="1559" w:type="dxa"/>
          </w:tcPr>
          <w:p w:rsidR="00CD519E" w:rsidRDefault="00CD519E" w:rsidP="00793CB4">
            <w:pPr>
              <w:jc w:val="center"/>
            </w:pPr>
            <w:r>
              <w:t>280</w:t>
            </w:r>
          </w:p>
        </w:tc>
        <w:tc>
          <w:tcPr>
            <w:tcW w:w="2551" w:type="dxa"/>
          </w:tcPr>
          <w:p w:rsidR="00CD519E" w:rsidRDefault="00CD519E" w:rsidP="00793CB4">
            <w:pPr>
              <w:jc w:val="center"/>
            </w:pPr>
            <w:r>
              <w:t>100</w:t>
            </w:r>
          </w:p>
        </w:tc>
      </w:tr>
      <w:tr w:rsidR="00CD519E" w:rsidTr="00BF7507">
        <w:tc>
          <w:tcPr>
            <w:tcW w:w="562" w:type="dxa"/>
            <w:vMerge/>
          </w:tcPr>
          <w:p w:rsidR="00CD519E" w:rsidRDefault="00CD519E" w:rsidP="00793CB4">
            <w:pPr>
              <w:jc w:val="center"/>
            </w:pPr>
          </w:p>
        </w:tc>
        <w:tc>
          <w:tcPr>
            <w:tcW w:w="1418" w:type="dxa"/>
            <w:vMerge/>
          </w:tcPr>
          <w:p w:rsidR="00CD519E" w:rsidRDefault="00CD519E" w:rsidP="00793CB4"/>
        </w:tc>
        <w:tc>
          <w:tcPr>
            <w:tcW w:w="2694" w:type="dxa"/>
          </w:tcPr>
          <w:p w:rsidR="00CD519E" w:rsidRDefault="00CD519E" w:rsidP="00793CB4">
            <w:r>
              <w:t>Colonge – Franfurk</w:t>
            </w:r>
            <w:r w:rsidR="00237D61">
              <w:t xml:space="preserve"> (năm khai thác: 2004)</w:t>
            </w:r>
          </w:p>
        </w:tc>
        <w:tc>
          <w:tcPr>
            <w:tcW w:w="1559" w:type="dxa"/>
          </w:tcPr>
          <w:p w:rsidR="00CD519E" w:rsidRDefault="00CD519E" w:rsidP="00793CB4">
            <w:pPr>
              <w:jc w:val="center"/>
            </w:pPr>
            <w:r>
              <w:t>300</w:t>
            </w:r>
          </w:p>
        </w:tc>
        <w:tc>
          <w:tcPr>
            <w:tcW w:w="1559" w:type="dxa"/>
          </w:tcPr>
          <w:p w:rsidR="00CD519E" w:rsidRDefault="00CD519E" w:rsidP="00793CB4">
            <w:pPr>
              <w:jc w:val="center"/>
            </w:pPr>
            <w:r>
              <w:t>300</w:t>
            </w:r>
          </w:p>
        </w:tc>
        <w:tc>
          <w:tcPr>
            <w:tcW w:w="2551" w:type="dxa"/>
          </w:tcPr>
          <w:p w:rsidR="00CD519E" w:rsidRDefault="00CD519E" w:rsidP="00793CB4">
            <w:pPr>
              <w:jc w:val="center"/>
            </w:pPr>
            <w:r>
              <w:t>92</w:t>
            </w:r>
          </w:p>
        </w:tc>
      </w:tr>
      <w:tr w:rsidR="00CD519E" w:rsidTr="00BF7507">
        <w:tc>
          <w:tcPr>
            <w:tcW w:w="562" w:type="dxa"/>
            <w:vMerge w:val="restart"/>
          </w:tcPr>
          <w:p w:rsidR="00CD519E" w:rsidRDefault="00CD519E" w:rsidP="00793CB4">
            <w:pPr>
              <w:jc w:val="center"/>
            </w:pPr>
            <w:r>
              <w:t>5</w:t>
            </w:r>
          </w:p>
        </w:tc>
        <w:tc>
          <w:tcPr>
            <w:tcW w:w="1418" w:type="dxa"/>
            <w:vMerge w:val="restart"/>
          </w:tcPr>
          <w:p w:rsidR="00CD519E" w:rsidRDefault="00CD519E" w:rsidP="00793CB4">
            <w:r>
              <w:t>Ý</w:t>
            </w:r>
          </w:p>
        </w:tc>
        <w:tc>
          <w:tcPr>
            <w:tcW w:w="2694" w:type="dxa"/>
          </w:tcPr>
          <w:p w:rsidR="00CD519E" w:rsidRDefault="00CD519E" w:rsidP="00793CB4">
            <w:r>
              <w:t>Rome – Firenze</w:t>
            </w:r>
            <w:r w:rsidR="00237D61">
              <w:t xml:space="preserve"> (năm khai thác: 1992)</w:t>
            </w:r>
          </w:p>
        </w:tc>
        <w:tc>
          <w:tcPr>
            <w:tcW w:w="1559" w:type="dxa"/>
          </w:tcPr>
          <w:p w:rsidR="00CD519E" w:rsidRDefault="00CD519E" w:rsidP="00793CB4">
            <w:pPr>
              <w:jc w:val="center"/>
            </w:pPr>
            <w:r>
              <w:t>250</w:t>
            </w:r>
          </w:p>
        </w:tc>
        <w:tc>
          <w:tcPr>
            <w:tcW w:w="1559" w:type="dxa"/>
          </w:tcPr>
          <w:p w:rsidR="00CD519E" w:rsidRDefault="00CD519E" w:rsidP="00793CB4">
            <w:pPr>
              <w:jc w:val="center"/>
            </w:pPr>
            <w:r>
              <w:t>250</w:t>
            </w:r>
          </w:p>
        </w:tc>
        <w:tc>
          <w:tcPr>
            <w:tcW w:w="2551" w:type="dxa"/>
          </w:tcPr>
          <w:p w:rsidR="00CD519E" w:rsidRDefault="00CD519E" w:rsidP="00793CB4">
            <w:pPr>
              <w:jc w:val="center"/>
            </w:pPr>
            <w:r>
              <w:t>54-68</w:t>
            </w:r>
          </w:p>
        </w:tc>
      </w:tr>
      <w:tr w:rsidR="00CD519E" w:rsidTr="00BF7507">
        <w:tc>
          <w:tcPr>
            <w:tcW w:w="562" w:type="dxa"/>
            <w:vMerge/>
          </w:tcPr>
          <w:p w:rsidR="00CD519E" w:rsidRDefault="00CD519E" w:rsidP="00793CB4">
            <w:pPr>
              <w:jc w:val="center"/>
            </w:pPr>
          </w:p>
        </w:tc>
        <w:tc>
          <w:tcPr>
            <w:tcW w:w="1418" w:type="dxa"/>
            <w:vMerge/>
          </w:tcPr>
          <w:p w:rsidR="00CD519E" w:rsidRDefault="00CD519E" w:rsidP="00793CB4"/>
        </w:tc>
        <w:tc>
          <w:tcPr>
            <w:tcW w:w="2694" w:type="dxa"/>
          </w:tcPr>
          <w:p w:rsidR="00CD519E" w:rsidRDefault="00CD519E" w:rsidP="00793CB4">
            <w:r>
              <w:t>Rome – Naples</w:t>
            </w:r>
            <w:r w:rsidR="00237D61">
              <w:t xml:space="preserve"> (năm khai thác: 2006)</w:t>
            </w:r>
          </w:p>
        </w:tc>
        <w:tc>
          <w:tcPr>
            <w:tcW w:w="1559" w:type="dxa"/>
          </w:tcPr>
          <w:p w:rsidR="00CD519E" w:rsidRDefault="00CD519E" w:rsidP="00793CB4">
            <w:pPr>
              <w:jc w:val="center"/>
            </w:pPr>
            <w:r>
              <w:t>300</w:t>
            </w:r>
          </w:p>
        </w:tc>
        <w:tc>
          <w:tcPr>
            <w:tcW w:w="1559" w:type="dxa"/>
          </w:tcPr>
          <w:p w:rsidR="00CD519E" w:rsidRDefault="00CD519E" w:rsidP="00793CB4">
            <w:pPr>
              <w:jc w:val="center"/>
            </w:pPr>
            <w:r>
              <w:t>300</w:t>
            </w:r>
          </w:p>
        </w:tc>
        <w:tc>
          <w:tcPr>
            <w:tcW w:w="2551" w:type="dxa"/>
          </w:tcPr>
          <w:p w:rsidR="00CD519E" w:rsidRDefault="00CD519E" w:rsidP="00793CB4">
            <w:pPr>
              <w:jc w:val="center"/>
            </w:pPr>
            <w:r>
              <w:t>82</w:t>
            </w:r>
          </w:p>
        </w:tc>
      </w:tr>
      <w:tr w:rsidR="00CD519E" w:rsidTr="00BF7507">
        <w:tc>
          <w:tcPr>
            <w:tcW w:w="562" w:type="dxa"/>
            <w:vMerge/>
          </w:tcPr>
          <w:p w:rsidR="00CD519E" w:rsidRDefault="00CD519E" w:rsidP="00793CB4">
            <w:pPr>
              <w:jc w:val="center"/>
            </w:pPr>
          </w:p>
        </w:tc>
        <w:tc>
          <w:tcPr>
            <w:tcW w:w="1418" w:type="dxa"/>
            <w:vMerge/>
          </w:tcPr>
          <w:p w:rsidR="00CD519E" w:rsidRDefault="00CD519E" w:rsidP="00793CB4"/>
        </w:tc>
        <w:tc>
          <w:tcPr>
            <w:tcW w:w="2694" w:type="dxa"/>
          </w:tcPr>
          <w:p w:rsidR="00CD519E" w:rsidRDefault="00CD519E" w:rsidP="00793CB4">
            <w:r>
              <w:t>Bologne – Firenze</w:t>
            </w:r>
            <w:r w:rsidR="00237D61">
              <w:t xml:space="preserve"> (năm khai thác: 2009)</w:t>
            </w:r>
          </w:p>
        </w:tc>
        <w:tc>
          <w:tcPr>
            <w:tcW w:w="1559" w:type="dxa"/>
          </w:tcPr>
          <w:p w:rsidR="00CD519E" w:rsidRDefault="00CD519E" w:rsidP="00793CB4">
            <w:pPr>
              <w:jc w:val="center"/>
            </w:pPr>
            <w:r>
              <w:t>300</w:t>
            </w:r>
          </w:p>
        </w:tc>
        <w:tc>
          <w:tcPr>
            <w:tcW w:w="1559" w:type="dxa"/>
          </w:tcPr>
          <w:p w:rsidR="00CD519E" w:rsidRDefault="00CD519E" w:rsidP="00793CB4">
            <w:pPr>
              <w:jc w:val="center"/>
            </w:pPr>
            <w:r>
              <w:t>300</w:t>
            </w:r>
          </w:p>
        </w:tc>
        <w:tc>
          <w:tcPr>
            <w:tcW w:w="2551" w:type="dxa"/>
          </w:tcPr>
          <w:p w:rsidR="00CD519E" w:rsidRDefault="00CD519E" w:rsidP="00793CB4">
            <w:pPr>
              <w:jc w:val="center"/>
            </w:pPr>
            <w:r>
              <w:t>82</w:t>
            </w:r>
          </w:p>
        </w:tc>
      </w:tr>
      <w:tr w:rsidR="00CD519E" w:rsidTr="00BF7507">
        <w:tc>
          <w:tcPr>
            <w:tcW w:w="562" w:type="dxa"/>
            <w:vMerge/>
          </w:tcPr>
          <w:p w:rsidR="00CD519E" w:rsidRDefault="00CD519E" w:rsidP="00793CB4">
            <w:pPr>
              <w:jc w:val="center"/>
            </w:pPr>
          </w:p>
        </w:tc>
        <w:tc>
          <w:tcPr>
            <w:tcW w:w="1418" w:type="dxa"/>
            <w:vMerge/>
          </w:tcPr>
          <w:p w:rsidR="00CD519E" w:rsidRDefault="00CD519E" w:rsidP="00793CB4"/>
        </w:tc>
        <w:tc>
          <w:tcPr>
            <w:tcW w:w="2694" w:type="dxa"/>
          </w:tcPr>
          <w:p w:rsidR="00CD519E" w:rsidRDefault="00CD519E" w:rsidP="00793CB4">
            <w:r>
              <w:t>Bologne – Milano</w:t>
            </w:r>
            <w:r w:rsidR="00237D61">
              <w:t xml:space="preserve"> (năm khai thác: 2008)</w:t>
            </w:r>
          </w:p>
        </w:tc>
        <w:tc>
          <w:tcPr>
            <w:tcW w:w="1559" w:type="dxa"/>
          </w:tcPr>
          <w:p w:rsidR="00CD519E" w:rsidRDefault="00CD519E" w:rsidP="00793CB4">
            <w:pPr>
              <w:jc w:val="center"/>
            </w:pPr>
            <w:r>
              <w:t>300</w:t>
            </w:r>
          </w:p>
        </w:tc>
        <w:tc>
          <w:tcPr>
            <w:tcW w:w="1559" w:type="dxa"/>
          </w:tcPr>
          <w:p w:rsidR="00CD519E" w:rsidRDefault="00CD519E" w:rsidP="00793CB4">
            <w:pPr>
              <w:jc w:val="center"/>
            </w:pPr>
            <w:r>
              <w:t>300</w:t>
            </w:r>
          </w:p>
        </w:tc>
        <w:tc>
          <w:tcPr>
            <w:tcW w:w="2551" w:type="dxa"/>
          </w:tcPr>
          <w:p w:rsidR="00CD519E" w:rsidRDefault="00CD519E" w:rsidP="00793CB4">
            <w:pPr>
              <w:jc w:val="center"/>
            </w:pPr>
            <w:r>
              <w:t>90</w:t>
            </w:r>
          </w:p>
        </w:tc>
      </w:tr>
      <w:tr w:rsidR="00CD519E" w:rsidTr="00BF7507">
        <w:tc>
          <w:tcPr>
            <w:tcW w:w="562" w:type="dxa"/>
            <w:vMerge w:val="restart"/>
          </w:tcPr>
          <w:p w:rsidR="00CD519E" w:rsidRDefault="00CD519E" w:rsidP="00793CB4">
            <w:pPr>
              <w:jc w:val="center"/>
            </w:pPr>
            <w:r>
              <w:t>6</w:t>
            </w:r>
          </w:p>
        </w:tc>
        <w:tc>
          <w:tcPr>
            <w:tcW w:w="1418" w:type="dxa"/>
            <w:vMerge w:val="restart"/>
          </w:tcPr>
          <w:p w:rsidR="00CD519E" w:rsidRDefault="00CD519E" w:rsidP="00793CB4">
            <w:r>
              <w:t>Tây Ban Nha</w:t>
            </w:r>
          </w:p>
        </w:tc>
        <w:tc>
          <w:tcPr>
            <w:tcW w:w="2694" w:type="dxa"/>
          </w:tcPr>
          <w:p w:rsidR="00CD519E" w:rsidRDefault="00CD519E" w:rsidP="00793CB4">
            <w:r>
              <w:t xml:space="preserve">Madrid </w:t>
            </w:r>
            <w:r w:rsidR="00237D61">
              <w:t>–</w:t>
            </w:r>
            <w:r>
              <w:t xml:space="preserve"> Sevillia</w:t>
            </w:r>
            <w:r w:rsidR="00237D61">
              <w:t xml:space="preserve"> (năm khai thác: 1992)</w:t>
            </w:r>
          </w:p>
        </w:tc>
        <w:tc>
          <w:tcPr>
            <w:tcW w:w="1559" w:type="dxa"/>
          </w:tcPr>
          <w:p w:rsidR="00CD519E" w:rsidRDefault="00CD519E" w:rsidP="00793CB4">
            <w:pPr>
              <w:jc w:val="center"/>
            </w:pPr>
            <w:r>
              <w:t>300</w:t>
            </w:r>
          </w:p>
        </w:tc>
        <w:tc>
          <w:tcPr>
            <w:tcW w:w="1559" w:type="dxa"/>
          </w:tcPr>
          <w:p w:rsidR="00CD519E" w:rsidRDefault="00CD519E" w:rsidP="00793CB4">
            <w:pPr>
              <w:jc w:val="center"/>
            </w:pPr>
            <w:r>
              <w:t>250</w:t>
            </w:r>
          </w:p>
        </w:tc>
        <w:tc>
          <w:tcPr>
            <w:tcW w:w="2551" w:type="dxa"/>
          </w:tcPr>
          <w:p w:rsidR="00CD519E" w:rsidRDefault="00CD519E" w:rsidP="00793CB4">
            <w:pPr>
              <w:jc w:val="center"/>
            </w:pPr>
            <w:r>
              <w:t>75</w:t>
            </w:r>
          </w:p>
        </w:tc>
      </w:tr>
      <w:tr w:rsidR="00CD519E" w:rsidTr="00BF7507">
        <w:tc>
          <w:tcPr>
            <w:tcW w:w="562" w:type="dxa"/>
            <w:vMerge/>
          </w:tcPr>
          <w:p w:rsidR="00CD519E" w:rsidRDefault="00CD519E" w:rsidP="00793CB4">
            <w:pPr>
              <w:jc w:val="center"/>
            </w:pPr>
          </w:p>
        </w:tc>
        <w:tc>
          <w:tcPr>
            <w:tcW w:w="1418" w:type="dxa"/>
            <w:vMerge/>
          </w:tcPr>
          <w:p w:rsidR="00CD519E" w:rsidRDefault="00CD519E" w:rsidP="00793CB4"/>
        </w:tc>
        <w:tc>
          <w:tcPr>
            <w:tcW w:w="2694" w:type="dxa"/>
          </w:tcPr>
          <w:p w:rsidR="00CD519E" w:rsidRDefault="00CD519E" w:rsidP="00793CB4">
            <w:r>
              <w:t>Madrid – Barcelona</w:t>
            </w:r>
            <w:r w:rsidR="00237D61">
              <w:t xml:space="preserve"> (năm khai thác: 2008)</w:t>
            </w:r>
          </w:p>
        </w:tc>
        <w:tc>
          <w:tcPr>
            <w:tcW w:w="1559" w:type="dxa"/>
          </w:tcPr>
          <w:p w:rsidR="00CD519E" w:rsidRDefault="00CD519E" w:rsidP="00793CB4">
            <w:pPr>
              <w:jc w:val="center"/>
            </w:pPr>
            <w:r>
              <w:t>350</w:t>
            </w:r>
          </w:p>
        </w:tc>
        <w:tc>
          <w:tcPr>
            <w:tcW w:w="1559" w:type="dxa"/>
          </w:tcPr>
          <w:p w:rsidR="00CD519E" w:rsidRDefault="00CD519E" w:rsidP="00793CB4">
            <w:pPr>
              <w:jc w:val="center"/>
            </w:pPr>
            <w:r>
              <w:t>300</w:t>
            </w:r>
          </w:p>
        </w:tc>
        <w:tc>
          <w:tcPr>
            <w:tcW w:w="2551" w:type="dxa"/>
          </w:tcPr>
          <w:p w:rsidR="00CD519E" w:rsidRDefault="00CD519E" w:rsidP="00793CB4">
            <w:pPr>
              <w:jc w:val="center"/>
            </w:pPr>
            <w:r>
              <w:t>115</w:t>
            </w:r>
          </w:p>
        </w:tc>
      </w:tr>
      <w:tr w:rsidR="00CD519E" w:rsidTr="009E3DF1">
        <w:tc>
          <w:tcPr>
            <w:tcW w:w="562" w:type="dxa"/>
            <w:vMerge w:val="restart"/>
          </w:tcPr>
          <w:p w:rsidR="00CD519E" w:rsidRDefault="00CD519E" w:rsidP="00793CB4">
            <w:pPr>
              <w:jc w:val="center"/>
            </w:pPr>
            <w:r>
              <w:t>7</w:t>
            </w:r>
          </w:p>
        </w:tc>
        <w:tc>
          <w:tcPr>
            <w:tcW w:w="1418" w:type="dxa"/>
            <w:vMerge w:val="restart"/>
          </w:tcPr>
          <w:p w:rsidR="00CD519E" w:rsidRDefault="00CD519E" w:rsidP="00793CB4">
            <w:r>
              <w:t>Hàn Quốc</w:t>
            </w:r>
          </w:p>
        </w:tc>
        <w:tc>
          <w:tcPr>
            <w:tcW w:w="2694" w:type="dxa"/>
          </w:tcPr>
          <w:p w:rsidR="00CD519E" w:rsidRDefault="00CD519E" w:rsidP="00793CB4">
            <w:r>
              <w:t>Seoul – Busan</w:t>
            </w:r>
            <w:r w:rsidR="00237D61">
              <w:t xml:space="preserve"> (năm khai thác: 2004)</w:t>
            </w:r>
          </w:p>
        </w:tc>
        <w:tc>
          <w:tcPr>
            <w:tcW w:w="1559" w:type="dxa"/>
          </w:tcPr>
          <w:p w:rsidR="00CD519E" w:rsidRDefault="00CD519E" w:rsidP="00793CB4">
            <w:pPr>
              <w:jc w:val="center"/>
            </w:pPr>
            <w:r>
              <w:t>350</w:t>
            </w:r>
          </w:p>
        </w:tc>
        <w:tc>
          <w:tcPr>
            <w:tcW w:w="1559" w:type="dxa"/>
          </w:tcPr>
          <w:p w:rsidR="00CD519E" w:rsidRDefault="00CD519E" w:rsidP="00793CB4">
            <w:pPr>
              <w:jc w:val="center"/>
            </w:pPr>
            <w:r>
              <w:t>305</w:t>
            </w:r>
          </w:p>
        </w:tc>
        <w:tc>
          <w:tcPr>
            <w:tcW w:w="2551" w:type="dxa"/>
          </w:tcPr>
          <w:p w:rsidR="00CD519E" w:rsidRDefault="00CD519E" w:rsidP="00793CB4">
            <w:pPr>
              <w:jc w:val="center"/>
            </w:pPr>
            <w:r>
              <w:t>107</w:t>
            </w:r>
          </w:p>
        </w:tc>
      </w:tr>
      <w:tr w:rsidR="00CD519E" w:rsidTr="009E3DF1">
        <w:tc>
          <w:tcPr>
            <w:tcW w:w="562" w:type="dxa"/>
            <w:vMerge/>
          </w:tcPr>
          <w:p w:rsidR="00CD519E" w:rsidRDefault="00CD519E" w:rsidP="00793CB4">
            <w:pPr>
              <w:jc w:val="center"/>
            </w:pPr>
          </w:p>
        </w:tc>
        <w:tc>
          <w:tcPr>
            <w:tcW w:w="1418" w:type="dxa"/>
            <w:vMerge/>
          </w:tcPr>
          <w:p w:rsidR="00CD519E" w:rsidRDefault="00CD519E" w:rsidP="00793CB4"/>
        </w:tc>
        <w:tc>
          <w:tcPr>
            <w:tcW w:w="2694" w:type="dxa"/>
          </w:tcPr>
          <w:p w:rsidR="00CD519E" w:rsidRDefault="00CD519E" w:rsidP="00793CB4">
            <w:r>
              <w:t xml:space="preserve">Kyeongbu </w:t>
            </w:r>
          </w:p>
        </w:tc>
        <w:tc>
          <w:tcPr>
            <w:tcW w:w="1559" w:type="dxa"/>
          </w:tcPr>
          <w:p w:rsidR="00CD519E" w:rsidRPr="00CD519E" w:rsidRDefault="00CD519E" w:rsidP="00793CB4">
            <w:pPr>
              <w:jc w:val="center"/>
              <w:rPr>
                <w:highlight w:val="yellow"/>
              </w:rPr>
            </w:pPr>
            <w:r w:rsidRPr="00CD519E">
              <w:rPr>
                <w:highlight w:val="yellow"/>
              </w:rPr>
              <w:t>350</w:t>
            </w:r>
          </w:p>
        </w:tc>
        <w:tc>
          <w:tcPr>
            <w:tcW w:w="1559" w:type="dxa"/>
          </w:tcPr>
          <w:p w:rsidR="00CD519E" w:rsidRPr="00CD519E" w:rsidRDefault="00CD519E" w:rsidP="00793CB4">
            <w:pPr>
              <w:jc w:val="center"/>
              <w:rPr>
                <w:highlight w:val="yellow"/>
              </w:rPr>
            </w:pPr>
            <w:r w:rsidRPr="00CD519E">
              <w:rPr>
                <w:highlight w:val="yellow"/>
              </w:rPr>
              <w:t>300</w:t>
            </w:r>
          </w:p>
        </w:tc>
        <w:tc>
          <w:tcPr>
            <w:tcW w:w="2551" w:type="dxa"/>
          </w:tcPr>
          <w:p w:rsidR="00CD519E" w:rsidRDefault="00CD519E" w:rsidP="00793CB4">
            <w:pPr>
              <w:jc w:val="center"/>
            </w:pPr>
            <w:r>
              <w:t>107</w:t>
            </w:r>
          </w:p>
        </w:tc>
      </w:tr>
      <w:tr w:rsidR="00CD519E" w:rsidTr="00BF7507">
        <w:tc>
          <w:tcPr>
            <w:tcW w:w="562" w:type="dxa"/>
            <w:vMerge/>
          </w:tcPr>
          <w:p w:rsidR="00CD519E" w:rsidRDefault="00CD519E" w:rsidP="00793CB4">
            <w:pPr>
              <w:jc w:val="center"/>
            </w:pPr>
          </w:p>
        </w:tc>
        <w:tc>
          <w:tcPr>
            <w:tcW w:w="1418" w:type="dxa"/>
            <w:vMerge/>
          </w:tcPr>
          <w:p w:rsidR="00CD519E" w:rsidRDefault="00CD519E" w:rsidP="00793CB4"/>
        </w:tc>
        <w:tc>
          <w:tcPr>
            <w:tcW w:w="2694" w:type="dxa"/>
          </w:tcPr>
          <w:p w:rsidR="00CD519E" w:rsidRDefault="00CD519E" w:rsidP="00793CB4">
            <w:r>
              <w:t>Honam</w:t>
            </w:r>
          </w:p>
        </w:tc>
        <w:tc>
          <w:tcPr>
            <w:tcW w:w="1559" w:type="dxa"/>
          </w:tcPr>
          <w:p w:rsidR="00CD519E" w:rsidRPr="00CD519E" w:rsidRDefault="00CD519E" w:rsidP="00793CB4">
            <w:pPr>
              <w:jc w:val="center"/>
              <w:rPr>
                <w:highlight w:val="yellow"/>
              </w:rPr>
            </w:pPr>
            <w:r w:rsidRPr="00CD519E">
              <w:rPr>
                <w:highlight w:val="yellow"/>
              </w:rPr>
              <w:t>350</w:t>
            </w:r>
          </w:p>
        </w:tc>
        <w:tc>
          <w:tcPr>
            <w:tcW w:w="1559" w:type="dxa"/>
          </w:tcPr>
          <w:p w:rsidR="00CD519E" w:rsidRPr="00CD519E" w:rsidRDefault="00CD519E" w:rsidP="00793CB4">
            <w:pPr>
              <w:jc w:val="center"/>
              <w:rPr>
                <w:highlight w:val="yellow"/>
              </w:rPr>
            </w:pPr>
            <w:r w:rsidRPr="00CD519E">
              <w:rPr>
                <w:highlight w:val="yellow"/>
              </w:rPr>
              <w:t>300</w:t>
            </w:r>
          </w:p>
        </w:tc>
        <w:tc>
          <w:tcPr>
            <w:tcW w:w="2551" w:type="dxa"/>
          </w:tcPr>
          <w:p w:rsidR="00CD519E" w:rsidRDefault="00CD519E" w:rsidP="00793CB4">
            <w:pPr>
              <w:jc w:val="center"/>
            </w:pPr>
            <w:r>
              <w:t>96.7</w:t>
            </w:r>
          </w:p>
        </w:tc>
      </w:tr>
      <w:tr w:rsidR="00237D61" w:rsidTr="00237D61">
        <w:trPr>
          <w:trHeight w:val="650"/>
        </w:trPr>
        <w:tc>
          <w:tcPr>
            <w:tcW w:w="562" w:type="dxa"/>
            <w:vMerge w:val="restart"/>
          </w:tcPr>
          <w:p w:rsidR="00237D61" w:rsidRDefault="00237D61" w:rsidP="00793CB4">
            <w:pPr>
              <w:jc w:val="center"/>
            </w:pPr>
            <w:r>
              <w:t>8</w:t>
            </w:r>
          </w:p>
        </w:tc>
        <w:tc>
          <w:tcPr>
            <w:tcW w:w="1418" w:type="dxa"/>
            <w:vMerge w:val="restart"/>
          </w:tcPr>
          <w:p w:rsidR="00237D61" w:rsidRDefault="00237D61" w:rsidP="00793CB4">
            <w:r>
              <w:t>Các Dự án nghiên cứu về ĐS tốc độ cao ở Việt Nam</w:t>
            </w:r>
          </w:p>
        </w:tc>
        <w:tc>
          <w:tcPr>
            <w:tcW w:w="2694" w:type="dxa"/>
          </w:tcPr>
          <w:p w:rsidR="00237D61" w:rsidRDefault="00237D61" w:rsidP="00793CB4">
            <w:r>
              <w:t>KOICA (năm 2007)</w:t>
            </w:r>
          </w:p>
        </w:tc>
        <w:tc>
          <w:tcPr>
            <w:tcW w:w="1559" w:type="dxa"/>
          </w:tcPr>
          <w:p w:rsidR="00237D61" w:rsidRPr="00CD519E" w:rsidRDefault="00237D61" w:rsidP="00793CB4">
            <w:pPr>
              <w:jc w:val="center"/>
              <w:rPr>
                <w:highlight w:val="yellow"/>
              </w:rPr>
            </w:pPr>
          </w:p>
        </w:tc>
        <w:tc>
          <w:tcPr>
            <w:tcW w:w="1559" w:type="dxa"/>
          </w:tcPr>
          <w:p w:rsidR="00237D61" w:rsidRPr="00CD519E" w:rsidRDefault="00237D61" w:rsidP="00793CB4">
            <w:pPr>
              <w:jc w:val="center"/>
              <w:rPr>
                <w:highlight w:val="yellow"/>
              </w:rPr>
            </w:pPr>
          </w:p>
        </w:tc>
        <w:tc>
          <w:tcPr>
            <w:tcW w:w="2551" w:type="dxa"/>
          </w:tcPr>
          <w:p w:rsidR="00237D61" w:rsidRDefault="00237D61" w:rsidP="00793CB4">
            <w:pPr>
              <w:jc w:val="center"/>
            </w:pPr>
            <w:r>
              <w:t>116.8</w:t>
            </w:r>
          </w:p>
        </w:tc>
      </w:tr>
      <w:tr w:rsidR="00237D61" w:rsidTr="00237D61">
        <w:trPr>
          <w:trHeight w:val="560"/>
        </w:trPr>
        <w:tc>
          <w:tcPr>
            <w:tcW w:w="562" w:type="dxa"/>
            <w:vMerge/>
          </w:tcPr>
          <w:p w:rsidR="00237D61" w:rsidRDefault="00237D61" w:rsidP="00793CB4">
            <w:pPr>
              <w:jc w:val="center"/>
            </w:pPr>
          </w:p>
        </w:tc>
        <w:tc>
          <w:tcPr>
            <w:tcW w:w="1418" w:type="dxa"/>
            <w:vMerge/>
          </w:tcPr>
          <w:p w:rsidR="00237D61" w:rsidRDefault="00237D61" w:rsidP="00793CB4"/>
        </w:tc>
        <w:tc>
          <w:tcPr>
            <w:tcW w:w="2694" w:type="dxa"/>
          </w:tcPr>
          <w:p w:rsidR="00237D61" w:rsidRDefault="00237D61" w:rsidP="00793CB4">
            <w:r>
              <w:t>JICA (năm 201</w:t>
            </w:r>
            <w:r w:rsidR="00066847">
              <w:t>3</w:t>
            </w:r>
            <w:r>
              <w:t>)</w:t>
            </w:r>
          </w:p>
        </w:tc>
        <w:tc>
          <w:tcPr>
            <w:tcW w:w="1559" w:type="dxa"/>
          </w:tcPr>
          <w:p w:rsidR="00237D61" w:rsidRPr="00CD519E" w:rsidRDefault="00237D61" w:rsidP="00793CB4">
            <w:pPr>
              <w:jc w:val="center"/>
              <w:rPr>
                <w:highlight w:val="yellow"/>
              </w:rPr>
            </w:pPr>
          </w:p>
        </w:tc>
        <w:tc>
          <w:tcPr>
            <w:tcW w:w="1559" w:type="dxa"/>
          </w:tcPr>
          <w:p w:rsidR="00237D61" w:rsidRPr="00CD519E" w:rsidRDefault="00237D61" w:rsidP="00793CB4">
            <w:pPr>
              <w:jc w:val="center"/>
              <w:rPr>
                <w:highlight w:val="yellow"/>
              </w:rPr>
            </w:pPr>
          </w:p>
        </w:tc>
        <w:tc>
          <w:tcPr>
            <w:tcW w:w="2551" w:type="dxa"/>
          </w:tcPr>
          <w:p w:rsidR="00237D61" w:rsidRDefault="00237D61" w:rsidP="00793CB4">
            <w:pPr>
              <w:jc w:val="center"/>
            </w:pPr>
            <w:r>
              <w:t>63.4</w:t>
            </w:r>
          </w:p>
        </w:tc>
      </w:tr>
      <w:tr w:rsidR="00237D61" w:rsidTr="00BF7507">
        <w:tc>
          <w:tcPr>
            <w:tcW w:w="562" w:type="dxa"/>
            <w:vMerge/>
          </w:tcPr>
          <w:p w:rsidR="00237D61" w:rsidRDefault="00237D61" w:rsidP="00793CB4">
            <w:pPr>
              <w:jc w:val="center"/>
            </w:pPr>
          </w:p>
        </w:tc>
        <w:tc>
          <w:tcPr>
            <w:tcW w:w="1418" w:type="dxa"/>
            <w:vMerge/>
          </w:tcPr>
          <w:p w:rsidR="00237D61" w:rsidRDefault="00237D61" w:rsidP="00793CB4"/>
        </w:tc>
        <w:tc>
          <w:tcPr>
            <w:tcW w:w="2694" w:type="dxa"/>
          </w:tcPr>
          <w:p w:rsidR="00237D61" w:rsidRDefault="00237D61" w:rsidP="00793CB4">
            <w:r>
              <w:t>VJC (năm 2010)</w:t>
            </w:r>
          </w:p>
        </w:tc>
        <w:tc>
          <w:tcPr>
            <w:tcW w:w="1559" w:type="dxa"/>
          </w:tcPr>
          <w:p w:rsidR="00237D61" w:rsidRPr="00CD519E" w:rsidRDefault="00237D61" w:rsidP="00793CB4">
            <w:pPr>
              <w:jc w:val="center"/>
              <w:rPr>
                <w:highlight w:val="yellow"/>
              </w:rPr>
            </w:pPr>
          </w:p>
        </w:tc>
        <w:tc>
          <w:tcPr>
            <w:tcW w:w="1559" w:type="dxa"/>
          </w:tcPr>
          <w:p w:rsidR="00237D61" w:rsidRPr="00CD519E" w:rsidRDefault="00237D61" w:rsidP="00793CB4">
            <w:pPr>
              <w:jc w:val="center"/>
              <w:rPr>
                <w:highlight w:val="yellow"/>
              </w:rPr>
            </w:pPr>
          </w:p>
        </w:tc>
        <w:tc>
          <w:tcPr>
            <w:tcW w:w="2551" w:type="dxa"/>
          </w:tcPr>
          <w:p w:rsidR="00237D61" w:rsidRDefault="00237D61" w:rsidP="00793CB4">
            <w:pPr>
              <w:jc w:val="center"/>
            </w:pPr>
            <w:r>
              <w:t>80</w:t>
            </w:r>
          </w:p>
        </w:tc>
      </w:tr>
      <w:tr w:rsidR="00CD519E" w:rsidTr="00BF7507">
        <w:tc>
          <w:tcPr>
            <w:tcW w:w="562" w:type="dxa"/>
            <w:vMerge w:val="restart"/>
          </w:tcPr>
          <w:p w:rsidR="00CD519E" w:rsidRDefault="00237D61" w:rsidP="00793CB4">
            <w:pPr>
              <w:jc w:val="center"/>
            </w:pPr>
            <w:r>
              <w:t>9</w:t>
            </w:r>
          </w:p>
        </w:tc>
        <w:tc>
          <w:tcPr>
            <w:tcW w:w="1418" w:type="dxa"/>
            <w:vMerge w:val="restart"/>
          </w:tcPr>
          <w:p w:rsidR="00CD519E" w:rsidRDefault="00CD519E" w:rsidP="00793CB4">
            <w:r>
              <w:t>Trung Quốc</w:t>
            </w:r>
          </w:p>
        </w:tc>
        <w:tc>
          <w:tcPr>
            <w:tcW w:w="2694" w:type="dxa"/>
            <w:vMerge w:val="restart"/>
          </w:tcPr>
          <w:p w:rsidR="00CD519E" w:rsidRDefault="00CD519E" w:rsidP="00793CB4">
            <w:r w:rsidRPr="000853D2">
              <w:rPr>
                <w:i/>
              </w:rPr>
              <w:t>Tiêu chuẩn Thiết kế đường sắt tốc độ cao TB 10621-2014/J 1942-2014</w:t>
            </w:r>
          </w:p>
        </w:tc>
        <w:tc>
          <w:tcPr>
            <w:tcW w:w="1559" w:type="dxa"/>
          </w:tcPr>
          <w:p w:rsidR="00CD519E" w:rsidRDefault="00CD519E" w:rsidP="00793CB4">
            <w:pPr>
              <w:jc w:val="center"/>
            </w:pPr>
            <w:r>
              <w:t>250</w:t>
            </w:r>
          </w:p>
        </w:tc>
        <w:tc>
          <w:tcPr>
            <w:tcW w:w="1559" w:type="dxa"/>
          </w:tcPr>
          <w:p w:rsidR="00CD519E" w:rsidRDefault="00CD519E" w:rsidP="00793CB4">
            <w:pPr>
              <w:jc w:val="center"/>
            </w:pPr>
          </w:p>
        </w:tc>
        <w:tc>
          <w:tcPr>
            <w:tcW w:w="2551" w:type="dxa"/>
          </w:tcPr>
          <w:p w:rsidR="00CD519E" w:rsidRDefault="00CD519E" w:rsidP="00793CB4">
            <w:pPr>
              <w:jc w:val="center"/>
            </w:pPr>
            <w:r>
              <w:t xml:space="preserve">90 </w:t>
            </w:r>
          </w:p>
          <w:p w:rsidR="00CD519E" w:rsidRDefault="00CD519E" w:rsidP="00793CB4">
            <w:pPr>
              <w:jc w:val="center"/>
            </w:pPr>
            <w:r>
              <w:t>(Hầm đơn: 58)</w:t>
            </w:r>
          </w:p>
        </w:tc>
      </w:tr>
      <w:tr w:rsidR="00CD519E" w:rsidTr="00BF7507">
        <w:tc>
          <w:tcPr>
            <w:tcW w:w="562" w:type="dxa"/>
            <w:vMerge/>
          </w:tcPr>
          <w:p w:rsidR="00CD519E" w:rsidRDefault="00CD519E" w:rsidP="00793CB4">
            <w:pPr>
              <w:jc w:val="center"/>
            </w:pPr>
          </w:p>
        </w:tc>
        <w:tc>
          <w:tcPr>
            <w:tcW w:w="1418" w:type="dxa"/>
            <w:vMerge/>
          </w:tcPr>
          <w:p w:rsidR="00CD519E" w:rsidRDefault="00CD519E" w:rsidP="00793CB4"/>
        </w:tc>
        <w:tc>
          <w:tcPr>
            <w:tcW w:w="2694" w:type="dxa"/>
            <w:vMerge/>
          </w:tcPr>
          <w:p w:rsidR="00CD519E" w:rsidRDefault="00CD519E" w:rsidP="00793CB4"/>
        </w:tc>
        <w:tc>
          <w:tcPr>
            <w:tcW w:w="1559" w:type="dxa"/>
          </w:tcPr>
          <w:p w:rsidR="00CD519E" w:rsidRDefault="00CD519E" w:rsidP="00793CB4">
            <w:pPr>
              <w:jc w:val="center"/>
            </w:pPr>
            <w:r>
              <w:t>300</w:t>
            </w:r>
          </w:p>
        </w:tc>
        <w:tc>
          <w:tcPr>
            <w:tcW w:w="1559" w:type="dxa"/>
          </w:tcPr>
          <w:p w:rsidR="00CD519E" w:rsidRDefault="00CD519E" w:rsidP="00793CB4">
            <w:pPr>
              <w:jc w:val="center"/>
            </w:pPr>
          </w:p>
        </w:tc>
        <w:tc>
          <w:tcPr>
            <w:tcW w:w="2551" w:type="dxa"/>
          </w:tcPr>
          <w:p w:rsidR="00CD519E" w:rsidRDefault="00CD519E" w:rsidP="00793CB4">
            <w:pPr>
              <w:jc w:val="center"/>
            </w:pPr>
            <w:r>
              <w:t xml:space="preserve">100 </w:t>
            </w:r>
          </w:p>
          <w:p w:rsidR="00CD519E" w:rsidRDefault="00CD519E" w:rsidP="00793CB4">
            <w:pPr>
              <w:jc w:val="center"/>
            </w:pPr>
            <w:r>
              <w:t>(Hầm đơn: 70)</w:t>
            </w:r>
          </w:p>
        </w:tc>
      </w:tr>
      <w:tr w:rsidR="00CD519E" w:rsidTr="00BF7507">
        <w:tc>
          <w:tcPr>
            <w:tcW w:w="562" w:type="dxa"/>
            <w:vMerge/>
          </w:tcPr>
          <w:p w:rsidR="00CD519E" w:rsidRDefault="00CD519E" w:rsidP="00793CB4">
            <w:pPr>
              <w:jc w:val="center"/>
            </w:pPr>
          </w:p>
        </w:tc>
        <w:tc>
          <w:tcPr>
            <w:tcW w:w="1418" w:type="dxa"/>
            <w:vMerge/>
          </w:tcPr>
          <w:p w:rsidR="00CD519E" w:rsidRDefault="00CD519E" w:rsidP="00793CB4"/>
        </w:tc>
        <w:tc>
          <w:tcPr>
            <w:tcW w:w="2694" w:type="dxa"/>
            <w:vMerge/>
          </w:tcPr>
          <w:p w:rsidR="00CD519E" w:rsidRDefault="00CD519E" w:rsidP="00793CB4"/>
        </w:tc>
        <w:tc>
          <w:tcPr>
            <w:tcW w:w="1559" w:type="dxa"/>
          </w:tcPr>
          <w:p w:rsidR="00CD519E" w:rsidRDefault="00CD519E" w:rsidP="00793CB4">
            <w:pPr>
              <w:jc w:val="center"/>
            </w:pPr>
            <w:r>
              <w:t>350</w:t>
            </w:r>
          </w:p>
        </w:tc>
        <w:tc>
          <w:tcPr>
            <w:tcW w:w="1559" w:type="dxa"/>
          </w:tcPr>
          <w:p w:rsidR="00CD519E" w:rsidRDefault="00CD519E" w:rsidP="00793CB4">
            <w:pPr>
              <w:jc w:val="center"/>
            </w:pPr>
          </w:p>
        </w:tc>
        <w:tc>
          <w:tcPr>
            <w:tcW w:w="2551" w:type="dxa"/>
          </w:tcPr>
          <w:p w:rsidR="00CD519E" w:rsidRDefault="00CD519E" w:rsidP="00793CB4">
            <w:pPr>
              <w:jc w:val="center"/>
            </w:pPr>
            <w:r>
              <w:t xml:space="preserve">100 </w:t>
            </w:r>
          </w:p>
          <w:p w:rsidR="00CD519E" w:rsidRDefault="00CD519E" w:rsidP="00793CB4">
            <w:pPr>
              <w:jc w:val="center"/>
            </w:pPr>
            <w:r>
              <w:t>(Hầm đơn: 70)</w:t>
            </w:r>
          </w:p>
        </w:tc>
      </w:tr>
      <w:tr w:rsidR="00237D61" w:rsidRPr="00237D61" w:rsidTr="00BF7507">
        <w:tc>
          <w:tcPr>
            <w:tcW w:w="562" w:type="dxa"/>
            <w:vMerge w:val="restart"/>
          </w:tcPr>
          <w:p w:rsidR="00237D61" w:rsidRPr="00237D61" w:rsidRDefault="00237D61" w:rsidP="00793CB4">
            <w:pPr>
              <w:jc w:val="center"/>
              <w:rPr>
                <w:b/>
                <w:i/>
              </w:rPr>
            </w:pPr>
            <w:r w:rsidRPr="00237D61">
              <w:rPr>
                <w:b/>
                <w:i/>
              </w:rPr>
              <w:t>10</w:t>
            </w:r>
          </w:p>
        </w:tc>
        <w:tc>
          <w:tcPr>
            <w:tcW w:w="1418" w:type="dxa"/>
            <w:vMerge w:val="restart"/>
          </w:tcPr>
          <w:p w:rsidR="00237D61" w:rsidRPr="00237D61" w:rsidRDefault="00237D61" w:rsidP="00793CB4">
            <w:pPr>
              <w:rPr>
                <w:b/>
                <w:i/>
              </w:rPr>
            </w:pPr>
            <w:r w:rsidRPr="00237D61">
              <w:rPr>
                <w:b/>
                <w:i/>
              </w:rPr>
              <w:t xml:space="preserve">Đề xuất </w:t>
            </w:r>
          </w:p>
        </w:tc>
        <w:tc>
          <w:tcPr>
            <w:tcW w:w="2694" w:type="dxa"/>
            <w:vMerge w:val="restart"/>
          </w:tcPr>
          <w:p w:rsidR="00237D61" w:rsidRPr="00237D61" w:rsidRDefault="00237D61" w:rsidP="00793CB4">
            <w:pPr>
              <w:rPr>
                <w:b/>
                <w:i/>
              </w:rPr>
            </w:pPr>
          </w:p>
        </w:tc>
        <w:tc>
          <w:tcPr>
            <w:tcW w:w="1559" w:type="dxa"/>
          </w:tcPr>
          <w:p w:rsidR="00237D61" w:rsidRPr="00237D61" w:rsidRDefault="00237D61" w:rsidP="00793CB4">
            <w:pPr>
              <w:jc w:val="center"/>
              <w:rPr>
                <w:b/>
                <w:i/>
              </w:rPr>
            </w:pPr>
            <w:r w:rsidRPr="00237D61">
              <w:rPr>
                <w:b/>
                <w:i/>
              </w:rPr>
              <w:t>250</w:t>
            </w:r>
          </w:p>
        </w:tc>
        <w:tc>
          <w:tcPr>
            <w:tcW w:w="1559" w:type="dxa"/>
          </w:tcPr>
          <w:p w:rsidR="00237D61" w:rsidRPr="00237D61" w:rsidRDefault="00237D61" w:rsidP="00793CB4">
            <w:pPr>
              <w:jc w:val="center"/>
              <w:rPr>
                <w:b/>
                <w:i/>
              </w:rPr>
            </w:pPr>
          </w:p>
        </w:tc>
        <w:tc>
          <w:tcPr>
            <w:tcW w:w="2551" w:type="dxa"/>
          </w:tcPr>
          <w:p w:rsidR="00237D61" w:rsidRPr="00237D61" w:rsidRDefault="00237D61" w:rsidP="00793CB4">
            <w:pPr>
              <w:jc w:val="center"/>
              <w:rPr>
                <w:b/>
                <w:i/>
              </w:rPr>
            </w:pPr>
            <w:r w:rsidRPr="00237D61">
              <w:rPr>
                <w:b/>
                <w:i/>
              </w:rPr>
              <w:t xml:space="preserve">90 </w:t>
            </w:r>
          </w:p>
          <w:p w:rsidR="00237D61" w:rsidRPr="00237D61" w:rsidRDefault="00237D61" w:rsidP="00793CB4">
            <w:pPr>
              <w:jc w:val="center"/>
              <w:rPr>
                <w:b/>
                <w:i/>
              </w:rPr>
            </w:pPr>
            <w:r w:rsidRPr="00237D61">
              <w:rPr>
                <w:b/>
                <w:i/>
              </w:rPr>
              <w:t>(Hầm đơn: 58)</w:t>
            </w:r>
          </w:p>
        </w:tc>
      </w:tr>
      <w:tr w:rsidR="00237D61" w:rsidRPr="00237D61" w:rsidTr="00BF7507">
        <w:tc>
          <w:tcPr>
            <w:tcW w:w="562" w:type="dxa"/>
            <w:vMerge/>
          </w:tcPr>
          <w:p w:rsidR="00237D61" w:rsidRPr="00237D61" w:rsidRDefault="00237D61" w:rsidP="00793CB4">
            <w:pPr>
              <w:jc w:val="center"/>
              <w:rPr>
                <w:b/>
                <w:i/>
              </w:rPr>
            </w:pPr>
          </w:p>
        </w:tc>
        <w:tc>
          <w:tcPr>
            <w:tcW w:w="1418" w:type="dxa"/>
            <w:vMerge/>
          </w:tcPr>
          <w:p w:rsidR="00237D61" w:rsidRPr="00237D61" w:rsidRDefault="00237D61" w:rsidP="00793CB4">
            <w:pPr>
              <w:rPr>
                <w:b/>
                <w:i/>
              </w:rPr>
            </w:pPr>
          </w:p>
        </w:tc>
        <w:tc>
          <w:tcPr>
            <w:tcW w:w="2694" w:type="dxa"/>
            <w:vMerge/>
          </w:tcPr>
          <w:p w:rsidR="00237D61" w:rsidRPr="00237D61" w:rsidRDefault="00237D61" w:rsidP="00793CB4">
            <w:pPr>
              <w:rPr>
                <w:b/>
                <w:i/>
              </w:rPr>
            </w:pPr>
          </w:p>
        </w:tc>
        <w:tc>
          <w:tcPr>
            <w:tcW w:w="1559" w:type="dxa"/>
          </w:tcPr>
          <w:p w:rsidR="00237D61" w:rsidRPr="00237D61" w:rsidRDefault="00237D61" w:rsidP="00793CB4">
            <w:pPr>
              <w:jc w:val="center"/>
              <w:rPr>
                <w:b/>
                <w:i/>
              </w:rPr>
            </w:pPr>
            <w:r w:rsidRPr="00237D61">
              <w:rPr>
                <w:b/>
                <w:i/>
              </w:rPr>
              <w:t>300</w:t>
            </w:r>
          </w:p>
        </w:tc>
        <w:tc>
          <w:tcPr>
            <w:tcW w:w="1559" w:type="dxa"/>
          </w:tcPr>
          <w:p w:rsidR="00237D61" w:rsidRPr="00237D61" w:rsidRDefault="00237D61" w:rsidP="00793CB4">
            <w:pPr>
              <w:jc w:val="center"/>
              <w:rPr>
                <w:b/>
                <w:i/>
              </w:rPr>
            </w:pPr>
          </w:p>
        </w:tc>
        <w:tc>
          <w:tcPr>
            <w:tcW w:w="2551" w:type="dxa"/>
          </w:tcPr>
          <w:p w:rsidR="00237D61" w:rsidRPr="00237D61" w:rsidRDefault="00237D61" w:rsidP="00793CB4">
            <w:pPr>
              <w:jc w:val="center"/>
              <w:rPr>
                <w:b/>
                <w:i/>
              </w:rPr>
            </w:pPr>
            <w:r w:rsidRPr="00237D61">
              <w:rPr>
                <w:b/>
                <w:i/>
              </w:rPr>
              <w:t xml:space="preserve">100 </w:t>
            </w:r>
          </w:p>
          <w:p w:rsidR="00237D61" w:rsidRPr="00237D61" w:rsidRDefault="00237D61" w:rsidP="00793CB4">
            <w:pPr>
              <w:jc w:val="center"/>
              <w:rPr>
                <w:b/>
                <w:i/>
              </w:rPr>
            </w:pPr>
            <w:r w:rsidRPr="00237D61">
              <w:rPr>
                <w:b/>
                <w:i/>
              </w:rPr>
              <w:t>(Hầm đơn: 70)</w:t>
            </w:r>
          </w:p>
        </w:tc>
      </w:tr>
      <w:tr w:rsidR="00237D61" w:rsidRPr="00237D61" w:rsidTr="00BF7507">
        <w:tc>
          <w:tcPr>
            <w:tcW w:w="562" w:type="dxa"/>
            <w:vMerge/>
          </w:tcPr>
          <w:p w:rsidR="00237D61" w:rsidRPr="00237D61" w:rsidRDefault="00237D61" w:rsidP="00793CB4">
            <w:pPr>
              <w:jc w:val="center"/>
              <w:rPr>
                <w:b/>
                <w:i/>
              </w:rPr>
            </w:pPr>
          </w:p>
        </w:tc>
        <w:tc>
          <w:tcPr>
            <w:tcW w:w="1418" w:type="dxa"/>
            <w:vMerge/>
          </w:tcPr>
          <w:p w:rsidR="00237D61" w:rsidRPr="00237D61" w:rsidRDefault="00237D61" w:rsidP="00793CB4">
            <w:pPr>
              <w:rPr>
                <w:b/>
                <w:i/>
              </w:rPr>
            </w:pPr>
          </w:p>
        </w:tc>
        <w:tc>
          <w:tcPr>
            <w:tcW w:w="2694" w:type="dxa"/>
            <w:vMerge/>
          </w:tcPr>
          <w:p w:rsidR="00237D61" w:rsidRPr="00237D61" w:rsidRDefault="00237D61" w:rsidP="00793CB4">
            <w:pPr>
              <w:rPr>
                <w:b/>
                <w:i/>
              </w:rPr>
            </w:pPr>
          </w:p>
        </w:tc>
        <w:tc>
          <w:tcPr>
            <w:tcW w:w="1559" w:type="dxa"/>
          </w:tcPr>
          <w:p w:rsidR="00237D61" w:rsidRPr="00237D61" w:rsidRDefault="00237D61" w:rsidP="00793CB4">
            <w:pPr>
              <w:jc w:val="center"/>
              <w:rPr>
                <w:b/>
                <w:i/>
              </w:rPr>
            </w:pPr>
            <w:r w:rsidRPr="00237D61">
              <w:rPr>
                <w:b/>
                <w:i/>
              </w:rPr>
              <w:t>350</w:t>
            </w:r>
          </w:p>
        </w:tc>
        <w:tc>
          <w:tcPr>
            <w:tcW w:w="1559" w:type="dxa"/>
          </w:tcPr>
          <w:p w:rsidR="00237D61" w:rsidRPr="00237D61" w:rsidRDefault="00237D61" w:rsidP="00793CB4">
            <w:pPr>
              <w:jc w:val="center"/>
              <w:rPr>
                <w:b/>
                <w:i/>
              </w:rPr>
            </w:pPr>
          </w:p>
        </w:tc>
        <w:tc>
          <w:tcPr>
            <w:tcW w:w="2551" w:type="dxa"/>
          </w:tcPr>
          <w:p w:rsidR="00237D61" w:rsidRPr="00237D61" w:rsidRDefault="00237D61" w:rsidP="00793CB4">
            <w:pPr>
              <w:jc w:val="center"/>
              <w:rPr>
                <w:b/>
                <w:i/>
              </w:rPr>
            </w:pPr>
            <w:r w:rsidRPr="00237D61">
              <w:rPr>
                <w:b/>
                <w:i/>
              </w:rPr>
              <w:t xml:space="preserve">100 </w:t>
            </w:r>
          </w:p>
          <w:p w:rsidR="00237D61" w:rsidRPr="00237D61" w:rsidRDefault="00237D61" w:rsidP="00793CB4">
            <w:pPr>
              <w:jc w:val="center"/>
              <w:rPr>
                <w:b/>
                <w:i/>
              </w:rPr>
            </w:pPr>
            <w:r w:rsidRPr="00237D61">
              <w:rPr>
                <w:b/>
                <w:i/>
              </w:rPr>
              <w:t>(Hầm đơn: 70)</w:t>
            </w:r>
          </w:p>
        </w:tc>
      </w:tr>
    </w:tbl>
    <w:p w:rsidR="00237D61" w:rsidRPr="00860E5E" w:rsidRDefault="00237D61">
      <w:pPr>
        <w:rPr>
          <w:b/>
          <w:i/>
        </w:rPr>
      </w:pPr>
      <w:r w:rsidRPr="00860E5E">
        <w:rPr>
          <w:b/>
          <w:i/>
        </w:rPr>
        <w:t>Giải thích:</w:t>
      </w:r>
    </w:p>
    <w:p w:rsidR="00237D61" w:rsidRDefault="00237D61" w:rsidP="00860E5E">
      <w:pPr>
        <w:jc w:val="both"/>
      </w:pPr>
      <w:r>
        <w:t>1. Nguồn tài liệu:</w:t>
      </w:r>
    </w:p>
    <w:p w:rsidR="00237D61" w:rsidRDefault="00237D61" w:rsidP="00860E5E">
      <w:pPr>
        <w:jc w:val="both"/>
      </w:pPr>
      <w:r>
        <w:lastRenderedPageBreak/>
        <w:tab/>
        <w:t>- Đối với ĐS tốc độ cao Nhật Bản, Đài Loan, Pháp, Đức, Ý, Tây Ban Nha: lấy theo tài liệu “Báo cáo cuối kỳ Nghiên cứu lập dự án xây dựng ĐS cao tốc đoạn Hà Nội – Vinh và Tp Hồ Chí Minh – Nha Trang”. Liên danh Công ty ALMEC – Công ty tư vấn quốc tế GTVT Nhật Bản – Công ty Tư vấn Phương Đông – Công ty NIPPON KOEI và Công ty Tư vấn GTVT Nhật Bản. Thực hiện tháng 6/2013.</w:t>
      </w:r>
    </w:p>
    <w:p w:rsidR="00237D61" w:rsidRDefault="00237D61" w:rsidP="00860E5E">
      <w:pPr>
        <w:jc w:val="both"/>
      </w:pPr>
      <w:r>
        <w:tab/>
        <w:t>- Đối với ĐS tốc độ cao Hàn Quốc: lấy theo tài liệu “Báo cáo cuối kỳ Nghiên cứu lập dự án xây dựng ĐS cao tốc đoạn Hà Nội – Vinh và Tp Hồ Chí Minh – Nha Trang” và Tài liệu giảng dạy của Dự án Hỗ trợ chia sẻ kinh nghiệm phát triển đường sắt DEEP (Hàn Quốc).</w:t>
      </w:r>
    </w:p>
    <w:p w:rsidR="00237D61" w:rsidRDefault="00237D61" w:rsidP="00860E5E">
      <w:pPr>
        <w:jc w:val="both"/>
      </w:pPr>
      <w:r>
        <w:tab/>
        <w:t xml:space="preserve">- Đối với ĐS tốc độ cao Trung Quốc: lấy theo </w:t>
      </w:r>
      <w:r w:rsidRPr="00237D61">
        <w:t>Tiêu chuẩn Thiết kế đường sắt tốc độ cao TB 10621-2014/J 1942-2014</w:t>
      </w:r>
    </w:p>
    <w:p w:rsidR="00BF7507" w:rsidRDefault="00237D61" w:rsidP="00860E5E">
      <w:pPr>
        <w:jc w:val="both"/>
      </w:pPr>
      <w:r>
        <w:t>2. Về giá trị đề xuất:</w:t>
      </w:r>
    </w:p>
    <w:p w:rsidR="00237D61" w:rsidRDefault="00237D61" w:rsidP="00860E5E">
      <w:pPr>
        <w:jc w:val="both"/>
      </w:pPr>
      <w:r>
        <w:tab/>
        <w:t>- Cần thiết phải đề xuất theo các dải tốc độ của ĐS tốc độ cao: 250 – 300 – 350 km/h để bảo đảm tính kinh tế khi xây dựng ĐS tốc độ cao, ĐS Trung Quốc đã và đang có quy định này.</w:t>
      </w:r>
    </w:p>
    <w:p w:rsidR="00237D61" w:rsidRDefault="00237D61" w:rsidP="00860E5E">
      <w:pPr>
        <w:jc w:val="both"/>
      </w:pPr>
      <w:r>
        <w:tab/>
        <w:t>- Về cơ bản, ngoại trừ ĐS tốc độ cao của Nhật Bản (sử dụng công nghệ Shinkanshen), quy định về diện tích mặt cắt hầm hữu hiệu tối thiểu có giá trị nhỏ nhất. ĐS cao tốc Đài Loan (cũng sử dụng công nghệ Shinkanshen) được đưa vào khai thác năm 2007, tuy nhiên diện tích mặt cắt hầm hữu hiệu tối thiểu là 90 m</w:t>
      </w:r>
      <w:r>
        <w:rPr>
          <w:vertAlign w:val="superscript"/>
        </w:rPr>
        <w:t xml:space="preserve">2 </w:t>
      </w:r>
      <w:r>
        <w:t>(lớn hơn so với giá trị quy định đối với ĐS cao tốc của Nhật Bản là 26.6 m</w:t>
      </w:r>
      <w:r>
        <w:rPr>
          <w:vertAlign w:val="superscript"/>
        </w:rPr>
        <w:t>2</w:t>
      </w:r>
      <w:r>
        <w:t>).</w:t>
      </w:r>
    </w:p>
    <w:p w:rsidR="00237D61" w:rsidRDefault="00237D61" w:rsidP="00860E5E">
      <w:pPr>
        <w:jc w:val="both"/>
      </w:pPr>
      <w:r>
        <w:tab/>
        <w:t>- Đối với ĐS tốc độ cao tại các nước châu Âu</w:t>
      </w:r>
      <w:r w:rsidR="00066847">
        <w:t xml:space="preserve">: </w:t>
      </w:r>
      <w:r w:rsidR="005B51B9">
        <w:t>diện tích mặt cắt hầm hữu hiệu tối thiểu có giá trị dao động xung quanh giá trị 100 m</w:t>
      </w:r>
      <w:r w:rsidR="005B51B9">
        <w:rPr>
          <w:vertAlign w:val="superscript"/>
        </w:rPr>
        <w:t>2</w:t>
      </w:r>
      <w:r w:rsidR="005B51B9">
        <w:t xml:space="preserve"> (đối với hầm đường đôi, tốc độ thiết kế 300 - 350 km/h).</w:t>
      </w:r>
    </w:p>
    <w:p w:rsidR="005B51B9" w:rsidRDefault="005B51B9" w:rsidP="00860E5E">
      <w:pPr>
        <w:jc w:val="both"/>
      </w:pPr>
      <w:r>
        <w:tab/>
        <w:t>- Đối với ĐS tốc độ cao của Hàn Quốc: sử dụng công nghệ TGV (Pháp), sau này có cải tiến. Tuy nhiên diện tích mặt cắt hầm hữu hiệu tối thiểu cũng có giá trị dao động xung quanh giá trị 100 m</w:t>
      </w:r>
      <w:r>
        <w:rPr>
          <w:vertAlign w:val="superscript"/>
        </w:rPr>
        <w:t>2</w:t>
      </w:r>
      <w:r>
        <w:t xml:space="preserve"> (đối với hầm đường đôi, tốc độ thiết kế 350 km/h).</w:t>
      </w:r>
    </w:p>
    <w:p w:rsidR="005B51B9" w:rsidRDefault="005B51B9" w:rsidP="00860E5E">
      <w:pPr>
        <w:jc w:val="both"/>
      </w:pPr>
      <w:r>
        <w:tab/>
        <w:t>- Dự thảo Tiêu chuẩn Cấp kỹ thuật đường sắt này là tiêu chuẩn quốc gia, được Bộ KHCN thẩm định, công bố và được tự nguyện áp dụng (theo Điều 3, Luật Tiêu chuẩn, quy chuẩn kỹ thuật số</w:t>
      </w:r>
      <w:r w:rsidRPr="00F46C69">
        <w:t xml:space="preserve"> 68/2006/QH11</w:t>
      </w:r>
      <w:r>
        <w:t xml:space="preserve"> ngày </w:t>
      </w:r>
      <w:r w:rsidRPr="00F46C69">
        <w:t xml:space="preserve"> 29</w:t>
      </w:r>
      <w:r>
        <w:t>/</w:t>
      </w:r>
      <w:r w:rsidRPr="00F46C69">
        <w:t>6</w:t>
      </w:r>
      <w:r>
        <w:t>/</w:t>
      </w:r>
      <w:r w:rsidRPr="00F46C69">
        <w:t>2006</w:t>
      </w:r>
      <w:r>
        <w:t>)</w:t>
      </w:r>
      <w:r w:rsidRPr="005B51B9">
        <w:t>.</w:t>
      </w:r>
    </w:p>
    <w:p w:rsidR="00237D61" w:rsidRDefault="005B51B9" w:rsidP="00793CB4">
      <w:pPr>
        <w:ind w:firstLine="720"/>
        <w:jc w:val="both"/>
      </w:pPr>
      <w:r>
        <w:t>Đối với các dự án cụ thể về xây dựng ĐS tốc độ cao, việc áp dụng các tiêu chuẩn được tuân thủ theo Thông tư 18/2010/TT-BXD ngày 15/10/2010 của Bộ Xây dựng quy định việc áp dụng quy chuẩn, tiêu chuẩn trong hoạt động xây dựng.</w:t>
      </w:r>
      <w:r w:rsidRPr="005B51B9">
        <w:t xml:space="preserve"> </w:t>
      </w:r>
      <w:r>
        <w:t xml:space="preserve"> </w:t>
      </w:r>
      <w:bookmarkStart w:id="0" w:name="_GoBack"/>
      <w:bookmarkEnd w:id="0"/>
    </w:p>
    <w:sectPr w:rsidR="00237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042"/>
    <w:rsid w:val="00066847"/>
    <w:rsid w:val="002058B9"/>
    <w:rsid w:val="00237D61"/>
    <w:rsid w:val="003006AC"/>
    <w:rsid w:val="004A0C88"/>
    <w:rsid w:val="005B51B9"/>
    <w:rsid w:val="005B53A2"/>
    <w:rsid w:val="00783042"/>
    <w:rsid w:val="00793CB4"/>
    <w:rsid w:val="00860E5E"/>
    <w:rsid w:val="00BF7507"/>
    <w:rsid w:val="00CD5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AKhoa</cp:lastModifiedBy>
  <cp:revision>2</cp:revision>
  <dcterms:created xsi:type="dcterms:W3CDTF">2018-05-21T09:52:00Z</dcterms:created>
  <dcterms:modified xsi:type="dcterms:W3CDTF">2018-05-21T09:52:00Z</dcterms:modified>
</cp:coreProperties>
</file>