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C7" w:rsidRPr="00220390" w:rsidRDefault="00E053C7" w:rsidP="00A169AD">
      <w:pPr>
        <w:pStyle w:val="Heading1"/>
        <w:keepNext w:val="0"/>
        <w:keepLines w:val="0"/>
        <w:widowControl w:val="0"/>
        <w:spacing w:before="120" w:after="120"/>
        <w:jc w:val="center"/>
        <w:rPr>
          <w:rFonts w:ascii="Times New Roman" w:hAnsi="Times New Roman" w:cs="Times New Roman"/>
          <w:color w:val="auto"/>
        </w:rPr>
      </w:pPr>
      <w:bookmarkStart w:id="0" w:name="_Toc25069668"/>
      <w:bookmarkStart w:id="1" w:name="_GoBack"/>
      <w:r w:rsidRPr="00220390">
        <w:rPr>
          <w:rFonts w:ascii="Times New Roman" w:hAnsi="Times New Roman" w:cs="Times New Roman"/>
          <w:color w:val="auto"/>
        </w:rPr>
        <w:t>Phụ lục số 1</w:t>
      </w:r>
      <w:bookmarkEnd w:id="0"/>
    </w:p>
    <w:p w:rsidR="00E053C7" w:rsidRDefault="00E053C7" w:rsidP="00220390">
      <w:pPr>
        <w:pStyle w:val="Heading1"/>
        <w:keepNext w:val="0"/>
        <w:keepLines w:val="0"/>
        <w:widowControl w:val="0"/>
        <w:spacing w:before="120" w:after="120"/>
        <w:jc w:val="center"/>
        <w:rPr>
          <w:rFonts w:ascii="Times New Roman" w:hAnsi="Times New Roman" w:cs="Times New Roman"/>
          <w:color w:val="auto"/>
        </w:rPr>
      </w:pPr>
      <w:bookmarkStart w:id="2" w:name="_Toc25069669"/>
      <w:r w:rsidRPr="00220390">
        <w:rPr>
          <w:rFonts w:ascii="Times New Roman" w:hAnsi="Times New Roman" w:cs="Times New Roman"/>
          <w:color w:val="auto"/>
        </w:rPr>
        <w:t xml:space="preserve">DANH MỤC VĂN BẢN CÒN HIỆU LỰC </w:t>
      </w:r>
      <w:bookmarkEnd w:id="2"/>
    </w:p>
    <w:p w:rsidR="00A169AD" w:rsidRPr="00A169AD" w:rsidRDefault="00A169AD" w:rsidP="00A169AD"/>
    <w:tbl>
      <w:tblPr>
        <w:tblW w:w="10900" w:type="dxa"/>
        <w:tblInd w:w="108" w:type="dxa"/>
        <w:tblLayout w:type="fixed"/>
        <w:tblLook w:val="0000" w:firstRow="0" w:lastRow="0" w:firstColumn="0" w:lastColumn="0" w:noHBand="0" w:noVBand="0"/>
      </w:tblPr>
      <w:tblGrid>
        <w:gridCol w:w="709"/>
        <w:gridCol w:w="142"/>
        <w:gridCol w:w="992"/>
        <w:gridCol w:w="1843"/>
        <w:gridCol w:w="2551"/>
        <w:gridCol w:w="1701"/>
        <w:gridCol w:w="1276"/>
        <w:gridCol w:w="713"/>
        <w:gridCol w:w="236"/>
        <w:gridCol w:w="236"/>
        <w:gridCol w:w="236"/>
        <w:gridCol w:w="265"/>
      </w:tblGrid>
      <w:tr w:rsidR="00E053C7" w:rsidRPr="005429FF" w:rsidTr="00BD1B10">
        <w:trPr>
          <w:gridAfter w:val="5"/>
          <w:wAfter w:w="1686" w:type="dxa"/>
          <w:trHeight w:val="99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r w:rsidRPr="00F5024E">
              <w:rPr>
                <w:b/>
                <w:szCs w:val="28"/>
              </w:rPr>
              <w:br w:type="page"/>
            </w:r>
            <w:r w:rsidRPr="00F5024E">
              <w:rPr>
                <w:b/>
                <w:bCs/>
                <w:szCs w:val="28"/>
              </w:rPr>
              <w:t>TT</w:t>
            </w:r>
          </w:p>
        </w:tc>
        <w:tc>
          <w:tcPr>
            <w:tcW w:w="992"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r w:rsidRPr="00F5024E">
              <w:rPr>
                <w:b/>
                <w:bCs/>
                <w:szCs w:val="28"/>
              </w:rPr>
              <w:t>Tên loại văn bản</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r w:rsidRPr="00F5024E">
              <w:rPr>
                <w:b/>
                <w:bCs/>
                <w:szCs w:val="28"/>
              </w:rPr>
              <w:t>Số, ký hiệu; ngày, tháng, năm ban hành văn bản</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r w:rsidRPr="00F5024E">
              <w:rPr>
                <w:b/>
                <w:bCs/>
                <w:szCs w:val="28"/>
              </w:rPr>
              <w:t xml:space="preserve">Tên gọi của văn bản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r w:rsidRPr="00F5024E">
              <w:rPr>
                <w:b/>
                <w:bCs/>
                <w:szCs w:val="28"/>
              </w:rPr>
              <w:t>Ngày có hiệu lực</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F5024E">
            <w:pPr>
              <w:widowControl w:val="0"/>
              <w:ind w:left="57" w:right="57"/>
              <w:jc w:val="center"/>
              <w:rPr>
                <w:b/>
                <w:bCs/>
                <w:szCs w:val="28"/>
              </w:rPr>
            </w:pPr>
            <w:r w:rsidRPr="00F5024E">
              <w:rPr>
                <w:b/>
                <w:bCs/>
                <w:szCs w:val="28"/>
              </w:rPr>
              <w:t>Ghi chú</w:t>
            </w:r>
          </w:p>
        </w:tc>
      </w:tr>
      <w:tr w:rsidR="00E053C7" w:rsidRPr="005429FF" w:rsidTr="00BD1B10">
        <w:trPr>
          <w:gridAfter w:val="5"/>
          <w:wAfter w:w="1686" w:type="dxa"/>
          <w:trHeight w:val="520"/>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r w:rsidRPr="00F5024E">
              <w:rPr>
                <w:b/>
                <w:bCs/>
                <w:szCs w:val="28"/>
              </w:rPr>
              <w:t>Năm 2012</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center"/>
              <w:rPr>
                <w:b/>
                <w:bCs/>
                <w:szCs w:val="28"/>
              </w:rPr>
            </w:pPr>
          </w:p>
        </w:tc>
      </w:tr>
      <w:tr w:rsidR="00E053C7" w:rsidRPr="00E8418B" w:rsidTr="00BD1B10">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 xml:space="preserve">Thông tư </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34/2012/TT-BGTVT</w:t>
            </w:r>
            <w:r w:rsidRPr="00F5024E">
              <w:rPr>
                <w:szCs w:val="28"/>
              </w:rPr>
              <w:br/>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Thông tư quy định danh mục, biện pháp bảo đảm an toàn đối với phương tiện động lực chuyên dùng khi khai thác, vận dụng trên đường sắt không bắt buộc phải có thiết bị ghi tốc độ và các thông tin liên quan đến việc điều hành chạy tàu (hộp đen)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15/10/2012</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E8418B" w:rsidTr="00BD1B10">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 xml:space="preserve">Thông tư </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58/2012/TT-BGTVT</w:t>
            </w:r>
          </w:p>
          <w:p w:rsidR="00E053C7" w:rsidRPr="00F5024E" w:rsidRDefault="00E053C7" w:rsidP="00220390">
            <w:pPr>
              <w:widowControl w:val="0"/>
              <w:ind w:left="57" w:right="57"/>
              <w:jc w:val="both"/>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Thông tư ban hành định mức vật tư cho một chu kỳ bảo trì kết cấu hạ tầng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01/3/2013</w:t>
            </w: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both"/>
              <w:rPr>
                <w:szCs w:val="28"/>
              </w:rPr>
            </w:pPr>
            <w:r w:rsidRPr="00F5024E">
              <w:rPr>
                <w:szCs w:val="28"/>
              </w:rPr>
              <w:t>Hết hiệu lực một phần, được sửa đổi, bổ sung bởi thông tư số 22/2017/TT-BGTVT</w:t>
            </w:r>
          </w:p>
        </w:tc>
      </w:tr>
      <w:tr w:rsidR="00E053C7" w:rsidRPr="005429FF" w:rsidTr="00BD1B10">
        <w:trPr>
          <w:gridAfter w:val="5"/>
          <w:wAfter w:w="1686" w:type="dxa"/>
          <w:trHeight w:val="496"/>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szCs w:val="28"/>
              </w:rPr>
            </w:pPr>
            <w:r w:rsidRPr="00F5024E">
              <w:rPr>
                <w:b/>
                <w:szCs w:val="28"/>
              </w:rPr>
              <w:t>Năm 2015</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color w:val="FF0000"/>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b/>
                <w:color w:val="FF0000"/>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bCs/>
                <w:szCs w:val="28"/>
              </w:rPr>
            </w:pP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center"/>
              <w:rPr>
                <w:b/>
                <w:bCs/>
                <w:szCs w:val="28"/>
              </w:rPr>
            </w:pPr>
          </w:p>
        </w:tc>
      </w:tr>
      <w:tr w:rsidR="00E053C7" w:rsidRPr="00E8418B" w:rsidTr="00BD1B10">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ind w:left="57" w:right="57"/>
              <w:jc w:val="both"/>
              <w:rPr>
                <w:szCs w:val="28"/>
              </w:rPr>
            </w:pPr>
            <w:hyperlink r:id="rId9" w:history="1">
              <w:r w:rsidR="00E053C7" w:rsidRPr="00F5024E">
                <w:rPr>
                  <w:szCs w:val="28"/>
                </w:rPr>
                <w:t>21/2015/TT-BGTVT</w:t>
              </w:r>
            </w:hyperlink>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ind w:left="57" w:right="57"/>
              <w:jc w:val="both"/>
              <w:rPr>
                <w:szCs w:val="28"/>
              </w:rPr>
            </w:pPr>
            <w:hyperlink r:id="rId10" w:history="1">
              <w:r w:rsidR="00E053C7" w:rsidRPr="00F5024E">
                <w:rPr>
                  <w:szCs w:val="28"/>
                </w:rPr>
                <w:t xml:space="preserve">Thông tư quy định về thời giờ làm việc và thời giờ nghỉ ngơi đối với </w:t>
              </w:r>
              <w:r w:rsidR="00E053C7" w:rsidRPr="00F5024E">
                <w:rPr>
                  <w:szCs w:val="28"/>
                </w:rPr>
                <w:lastRenderedPageBreak/>
                <w:t>những người lao động làm các công việc có tính chất đặc biệt trong vận tải đường sắt</w:t>
              </w:r>
            </w:hyperlink>
            <w:r w:rsidR="00E053C7" w:rsidRPr="00F5024E">
              <w:rPr>
                <w:szCs w:val="28"/>
              </w:rPr>
              <w:t xml:space="preserve"> (thay thế Thông tư 23/1998/TT-BGTVT ngày 7/2/1998)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lastRenderedPageBreak/>
              <w:t>01/9/2017</w:t>
            </w: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both"/>
              <w:rPr>
                <w:szCs w:val="28"/>
              </w:rPr>
            </w:pPr>
            <w:r w:rsidRPr="00F5024E">
              <w:rPr>
                <w:szCs w:val="28"/>
              </w:rPr>
              <w:t>Còn hiệu lực</w:t>
            </w:r>
          </w:p>
        </w:tc>
      </w:tr>
      <w:tr w:rsidR="003C6DCA" w:rsidRPr="00E8418B" w:rsidTr="00BD1B10">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6DCA" w:rsidRPr="00F5024E" w:rsidRDefault="003C6DCA" w:rsidP="00220390">
            <w:pPr>
              <w:widowControl w:val="0"/>
              <w:ind w:left="57" w:right="57"/>
              <w:jc w:val="both"/>
              <w:rPr>
                <w:szCs w:val="28"/>
              </w:rPr>
            </w:pPr>
            <w:r>
              <w:rPr>
                <w:szCs w:val="28"/>
              </w:rPr>
              <w:lastRenderedPageBreak/>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C6DCA" w:rsidRPr="00F5024E" w:rsidRDefault="003C6DCA" w:rsidP="00220390">
            <w:pPr>
              <w:widowControl w:val="0"/>
              <w:ind w:left="57" w:right="57"/>
              <w:jc w:val="both"/>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3C6DCA" w:rsidRDefault="003C6DCA" w:rsidP="00220390">
            <w:pPr>
              <w:widowControl w:val="0"/>
              <w:ind w:left="57" w:right="57"/>
              <w:jc w:val="both"/>
            </w:pPr>
            <w:r>
              <w:t>11/2015/TT-BGTVT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3C6DCA" w:rsidRDefault="003C6DCA" w:rsidP="003C6DCA">
            <w:pPr>
              <w:widowControl w:val="0"/>
              <w:ind w:left="57" w:right="57"/>
              <w:jc w:val="both"/>
            </w:pPr>
            <w:r>
              <w:rPr>
                <w:rFonts w:eastAsia="Times New Roman"/>
              </w:rPr>
              <w:t>T</w:t>
            </w:r>
            <w:r w:rsidRPr="003C6DCA">
              <w:rPr>
                <w:rFonts w:eastAsia="Times New Roman"/>
              </w:rPr>
              <w:t>hông tư</w:t>
            </w:r>
            <w:r>
              <w:rPr>
                <w:rFonts w:eastAsia="Times New Roman"/>
              </w:rPr>
              <w:t xml:space="preserve"> </w:t>
            </w:r>
            <w:r w:rsidRPr="003C6DCA">
              <w:rPr>
                <w:rFonts w:eastAsia="Times New Roman"/>
              </w:rPr>
              <w:t>quy định kiểm tra thiết bị tín hiệu đuôi tàu thay thế toa xe trưởng tàu trên các đoàn tàu hàng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6DCA" w:rsidRPr="00F5024E" w:rsidRDefault="003C6DCA" w:rsidP="00220390">
            <w:pPr>
              <w:widowControl w:val="0"/>
              <w:ind w:left="57" w:right="57"/>
              <w:jc w:val="both"/>
              <w:rPr>
                <w:szCs w:val="28"/>
              </w:rPr>
            </w:pPr>
            <w:r>
              <w:rPr>
                <w:szCs w:val="28"/>
              </w:rPr>
              <w:t>1/7/2015</w:t>
            </w:r>
          </w:p>
        </w:tc>
        <w:tc>
          <w:tcPr>
            <w:tcW w:w="1276" w:type="dxa"/>
            <w:tcBorders>
              <w:top w:val="single" w:sz="4" w:space="0" w:color="auto"/>
              <w:left w:val="single" w:sz="4" w:space="0" w:color="auto"/>
              <w:bottom w:val="single" w:sz="4" w:space="0" w:color="auto"/>
              <w:right w:val="single" w:sz="4" w:space="0" w:color="auto"/>
            </w:tcBorders>
          </w:tcPr>
          <w:p w:rsidR="003C6DCA" w:rsidRPr="00F5024E" w:rsidRDefault="003C6DCA" w:rsidP="00220390">
            <w:pPr>
              <w:widowControl w:val="0"/>
              <w:ind w:left="57" w:right="57"/>
              <w:jc w:val="both"/>
              <w:rPr>
                <w:szCs w:val="28"/>
              </w:rPr>
            </w:pPr>
            <w:r w:rsidRPr="00F5024E">
              <w:rPr>
                <w:szCs w:val="28"/>
              </w:rPr>
              <w:t>Còn hiệu lực</w:t>
            </w:r>
          </w:p>
        </w:tc>
      </w:tr>
      <w:tr w:rsidR="003C6DCA" w:rsidRPr="00E8418B" w:rsidTr="00BD1B10">
        <w:trPr>
          <w:gridAfter w:val="5"/>
          <w:wAfter w:w="1686" w:type="dxa"/>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6DCA" w:rsidRDefault="003C6DCA" w:rsidP="00220390">
            <w:pPr>
              <w:widowControl w:val="0"/>
              <w:ind w:left="57" w:right="57"/>
              <w:jc w:val="both"/>
              <w:rPr>
                <w:szCs w:val="28"/>
              </w:rPr>
            </w:pPr>
            <w:r>
              <w:rPr>
                <w:szCs w:val="28"/>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C6DCA" w:rsidRPr="00F5024E" w:rsidRDefault="003C6DCA" w:rsidP="00220390">
            <w:pPr>
              <w:widowControl w:val="0"/>
              <w:ind w:left="57" w:right="57"/>
              <w:jc w:val="both"/>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3C6DCA" w:rsidRDefault="003C6DCA" w:rsidP="00220390">
            <w:pPr>
              <w:widowControl w:val="0"/>
              <w:ind w:left="57" w:right="57"/>
              <w:jc w:val="both"/>
            </w:pPr>
            <w:r w:rsidRPr="003C6DCA">
              <w:rPr>
                <w:rFonts w:eastAsia="Times New Roman"/>
              </w:rPr>
              <w:t>63/2015/TT-BGTVT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3C6DCA" w:rsidRDefault="003C6DCA" w:rsidP="003C6DCA">
            <w:pPr>
              <w:widowControl w:val="0"/>
              <w:ind w:left="57" w:right="57"/>
              <w:jc w:val="both"/>
              <w:rPr>
                <w:rFonts w:eastAsia="Times New Roman"/>
              </w:rPr>
            </w:pPr>
            <w:r>
              <w:rPr>
                <w:rFonts w:eastAsia="Times New Roman"/>
              </w:rPr>
              <w:t>T</w:t>
            </w:r>
            <w:r w:rsidRPr="003C6DCA">
              <w:rPr>
                <w:rFonts w:eastAsia="Times New Roman"/>
              </w:rPr>
              <w:t>hông tư</w:t>
            </w:r>
            <w:r>
              <w:rPr>
                <w:rFonts w:eastAsia="Times New Roman"/>
              </w:rPr>
              <w:t xml:space="preserve"> </w:t>
            </w:r>
            <w:r w:rsidRPr="003C6DCA">
              <w:rPr>
                <w:rFonts w:eastAsia="Times New Roman"/>
              </w:rPr>
              <w:t>quy định về việc kiểm tra chất lượng, an toàn kỹ thuật và bảo vệ môi trường phương tiện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6DCA" w:rsidRDefault="003C6DCA" w:rsidP="00220390">
            <w:pPr>
              <w:widowControl w:val="0"/>
              <w:ind w:left="57" w:right="57"/>
              <w:jc w:val="both"/>
              <w:rPr>
                <w:szCs w:val="28"/>
              </w:rPr>
            </w:pPr>
            <w:r>
              <w:rPr>
                <w:szCs w:val="28"/>
              </w:rPr>
              <w:t>1/2/2016</w:t>
            </w:r>
          </w:p>
        </w:tc>
        <w:tc>
          <w:tcPr>
            <w:tcW w:w="1276" w:type="dxa"/>
            <w:tcBorders>
              <w:top w:val="single" w:sz="4" w:space="0" w:color="auto"/>
              <w:left w:val="single" w:sz="4" w:space="0" w:color="auto"/>
              <w:bottom w:val="single" w:sz="4" w:space="0" w:color="auto"/>
              <w:right w:val="single" w:sz="4" w:space="0" w:color="auto"/>
            </w:tcBorders>
          </w:tcPr>
          <w:p w:rsidR="003C6DCA" w:rsidRPr="00F5024E" w:rsidRDefault="003C6DCA" w:rsidP="00220390">
            <w:pPr>
              <w:widowControl w:val="0"/>
              <w:ind w:left="57" w:right="57"/>
              <w:jc w:val="both"/>
              <w:rPr>
                <w:szCs w:val="28"/>
              </w:rPr>
            </w:pPr>
            <w:r w:rsidRPr="00F5024E">
              <w:rPr>
                <w:szCs w:val="28"/>
              </w:rPr>
              <w:t>Còn hiệu lực</w:t>
            </w:r>
          </w:p>
        </w:tc>
      </w:tr>
      <w:tr w:rsidR="00E053C7" w:rsidRPr="00A2299A" w:rsidTr="00BD1B10">
        <w:trPr>
          <w:gridAfter w:val="5"/>
          <w:wAfter w:w="1686" w:type="dxa"/>
          <w:trHeight w:val="478"/>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szCs w:val="28"/>
              </w:rPr>
            </w:pPr>
            <w:r w:rsidRPr="00F5024E">
              <w:rPr>
                <w:b/>
                <w:szCs w:val="28"/>
              </w:rPr>
              <w:t>Năm 2016</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center"/>
              <w:rPr>
                <w:szCs w:val="28"/>
              </w:rPr>
            </w:pPr>
          </w:p>
        </w:tc>
      </w:tr>
      <w:tr w:rsidR="00E053C7" w:rsidRPr="00A2299A" w:rsidTr="00BD1B10">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46/2016/NĐ-CP</w:t>
            </w:r>
          </w:p>
          <w:p w:rsidR="00E053C7" w:rsidRPr="00F5024E" w:rsidRDefault="00E053C7" w:rsidP="00220390">
            <w:pPr>
              <w:widowControl w:val="0"/>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Quy định xử phạt vi phạm hành chính trong lĩnh vực giao thông đường bộ và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01/8/2016</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 Còn hiệu lực</w:t>
            </w:r>
          </w:p>
        </w:tc>
      </w:tr>
      <w:tr w:rsidR="00E053C7" w:rsidRPr="00A2299A" w:rsidTr="00BD1B10">
        <w:trPr>
          <w:gridAfter w:val="5"/>
          <w:wAfter w:w="1686" w:type="dxa"/>
          <w:trHeight w:val="343"/>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szCs w:val="28"/>
              </w:rPr>
            </w:pPr>
            <w:r w:rsidRPr="00F5024E">
              <w:rPr>
                <w:b/>
                <w:szCs w:val="28"/>
              </w:rPr>
              <w:t>Năm 2017</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center"/>
              <w:rPr>
                <w:szCs w:val="28"/>
              </w:rPr>
            </w:pPr>
          </w:p>
        </w:tc>
      </w:tr>
      <w:tr w:rsidR="00E053C7" w:rsidRPr="00A2299A" w:rsidTr="00BD1B10">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Luật</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06/2017/QH14</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Luật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28/2017/TT-BGTVT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A169AD" w:rsidP="00220390">
            <w:pPr>
              <w:widowControl w:val="0"/>
              <w:ind w:left="57" w:right="57"/>
              <w:jc w:val="both"/>
              <w:rPr>
                <w:szCs w:val="28"/>
              </w:rPr>
            </w:pPr>
            <w:r>
              <w:rPr>
                <w:szCs w:val="28"/>
              </w:rPr>
              <w:t>S</w:t>
            </w:r>
            <w:r w:rsidR="00E053C7" w:rsidRPr="00F5024E">
              <w:rPr>
                <w:szCs w:val="28"/>
              </w:rPr>
              <w:t>ửa đổi, bổ sung một số điều của thông tư số </w:t>
            </w:r>
            <w:hyperlink r:id="rId11" w:tgtFrame="_blank" w:history="1">
              <w:r w:rsidR="00E053C7" w:rsidRPr="00F5024E">
                <w:rPr>
                  <w:szCs w:val="28"/>
                </w:rPr>
                <w:t>01/2010</w:t>
              </w:r>
            </w:hyperlink>
            <w:r w:rsidR="00E053C7" w:rsidRPr="00F5024E">
              <w:rPr>
                <w:szCs w:val="28"/>
              </w:rPr>
              <w:t xml:space="preserve"> ngày 11 tháng 01 năm 2010 của bộ trưởng bộ giao thông vận tải quy định về phòng, chống, khắc phục hậu quả lụt, bão; ứng phó sự cố, thiên tai và cứu nạn </w:t>
            </w:r>
            <w:r w:rsidR="00E053C7" w:rsidRPr="00F5024E">
              <w:rPr>
                <w:szCs w:val="28"/>
              </w:rPr>
              <w:lastRenderedPageBreak/>
              <w:t>trong hoạt động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15/10/2017</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3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22/2017/TT-BGTVT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A169AD" w:rsidP="00220390">
            <w:pPr>
              <w:widowControl w:val="0"/>
              <w:ind w:left="57" w:right="57"/>
              <w:jc w:val="both"/>
              <w:rPr>
                <w:szCs w:val="28"/>
              </w:rPr>
            </w:pPr>
            <w:r>
              <w:rPr>
                <w:szCs w:val="28"/>
              </w:rPr>
              <w:t>S</w:t>
            </w:r>
            <w:r w:rsidR="00E053C7" w:rsidRPr="00F5024E">
              <w:rPr>
                <w:szCs w:val="28"/>
              </w:rPr>
              <w:t>ửa đổi, bổ sung một số nội dung của định mức vật tư cho một chu kỳ bảo trì kết cấu hạ tầng đường sắt quốc gia ban hành kèm theo thông tư số </w:t>
            </w:r>
            <w:hyperlink r:id="rId12" w:tgtFrame="_blank" w:tooltip="Thông tư 58/2012/TT-BGTVT" w:history="1">
              <w:r w:rsidR="00E053C7" w:rsidRPr="00F5024E">
                <w:rPr>
                  <w:szCs w:val="28"/>
                </w:rPr>
                <w:t>58/2012/TT-BGTVT</w:t>
              </w:r>
            </w:hyperlink>
            <w:r w:rsidR="00E053C7" w:rsidRPr="00F5024E">
              <w:rPr>
                <w:szCs w:val="28"/>
              </w:rPr>
              <w:t> ngày 28 tháng 12 năm 2012 của bộ trưởng bộ giao thông vận tải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01/9/2017</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438"/>
        </w:trPr>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b/>
                <w:szCs w:val="28"/>
              </w:rPr>
            </w:pPr>
            <w:r w:rsidRPr="00F5024E">
              <w:rPr>
                <w:b/>
                <w:szCs w:val="28"/>
              </w:rPr>
              <w:t>Năm 2018</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rsidR="00E053C7" w:rsidRPr="00F5024E" w:rsidRDefault="00E053C7" w:rsidP="00220390">
            <w:pPr>
              <w:widowControl w:val="0"/>
              <w:ind w:left="57" w:right="57"/>
              <w:jc w:val="center"/>
              <w:rPr>
                <w:szCs w:val="28"/>
              </w:rPr>
            </w:pPr>
          </w:p>
        </w:tc>
      </w:tr>
      <w:tr w:rsidR="00E053C7" w:rsidRPr="00A2299A" w:rsidTr="00BD1B10">
        <w:trPr>
          <w:gridAfter w:val="5"/>
          <w:wAfter w:w="1686" w:type="dxa"/>
          <w:trHeight w:val="52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46/2018/NĐ-CP</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việc quản lý, sử dụng và khai thác tài sản kết cấu hạ tầng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14/3/2018</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56/2018/NĐ-CP</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quản lý, bảo vệ kết cấu hạ tầng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left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40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65/2018/NĐ-CP</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chi tiết thi hành một số điều của luật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Nghị định</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75/2018/NĐ-CP</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tổ chức, nhiệm vụ, quyền hạn và trang phục, phù hiệu của lực lượng bảo vệ trên tàu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5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09/2018/TT-BGTVT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vận tải hành khách, hành lý trên đường sắt quốc gia và đường sắt chuyên dùng có nối ray với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2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11/2018/TT-BGTVT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 xml:space="preserve">Quy định về cầu chung, giao thông </w:t>
            </w:r>
            <w:r w:rsidRPr="00F5024E">
              <w:rPr>
                <w:szCs w:val="28"/>
              </w:rPr>
              <w:lastRenderedPageBreak/>
              <w:t>trên khu vực cầu chung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5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12/2018/TT-BYT</w:t>
            </w:r>
          </w:p>
        </w:tc>
        <w:tc>
          <w:tcPr>
            <w:tcW w:w="2551" w:type="dxa"/>
            <w:tcBorders>
              <w:top w:val="single" w:sz="4" w:space="0" w:color="auto"/>
              <w:left w:val="nil"/>
              <w:bottom w:val="single" w:sz="4" w:space="0" w:color="auto"/>
              <w:right w:val="single" w:sz="4" w:space="0" w:color="auto"/>
            </w:tcBorders>
            <w:shd w:val="clear" w:color="auto" w:fill="auto"/>
            <w:vAlign w:val="center"/>
          </w:tcPr>
          <w:p w:rsidR="00F5024E" w:rsidRPr="00F5024E" w:rsidRDefault="00E053C7" w:rsidP="00BD1B10">
            <w:pPr>
              <w:widowControl w:val="0"/>
              <w:ind w:left="57" w:right="57"/>
              <w:jc w:val="both"/>
              <w:rPr>
                <w:szCs w:val="28"/>
              </w:rPr>
            </w:pPr>
            <w:r w:rsidRPr="00F5024E">
              <w:rPr>
                <w:szCs w:val="28"/>
              </w:rPr>
              <w:t>Quy định về tiêu chuẩn sức khỏe của nhân viên đường sắt trực tiếp phục vụ chạy tàu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16/2018/TT-BGTVT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quản lý, bảo trì công trình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5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20/2018/TT-BGTVT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thông tin, chỉ dẫn, trang thiết bị phục vụ khách hàng, thiết bị an toàn trên phương tiện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21/2018/TT-BGTVT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đăng ký phương tiện giao thông đường sắt, di chuyển phương tiện giao thông đường sắt trong trường hợp đặc biệt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5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22/2018/TT-BGTVT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vận tải hàng hóa trên đường sắt quốc gia và đường sắt chuyên dùng có nối ray với đường sắt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gridAfter w:val="5"/>
          <w:wAfter w:w="1686" w:type="dxa"/>
          <w:trHeight w:val="7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23/2018/TT-BGTVT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giải quyết sự cố, tai nạn giao thông đường sắt và phân tích, thống kê báo cáo về sự cố, tai nạn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r>
      <w:tr w:rsidR="00E053C7" w:rsidRPr="00A2299A" w:rsidTr="00BD1B1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24/2018/TT-BGTVT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 xml:space="preserve">Quy định về xây dựng biểu đồ chạy </w:t>
            </w:r>
            <w:r w:rsidRPr="00F5024E">
              <w:rPr>
                <w:szCs w:val="28"/>
              </w:rPr>
              <w:lastRenderedPageBreak/>
              <w:t>tàu và điều hành giao thông vận tải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r w:rsidR="00E053C7" w:rsidRPr="00A2299A" w:rsidTr="00BD1B10">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14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p w:rsidR="00E053C7" w:rsidRPr="00F5024E" w:rsidRDefault="00E053C7" w:rsidP="00220390">
            <w:pPr>
              <w:widowControl w:val="0"/>
              <w:ind w:left="57" w:right="57"/>
              <w:jc w:val="center"/>
              <w:rPr>
                <w:szCs w:val="28"/>
              </w:rPr>
            </w:pPr>
            <w:r w:rsidRPr="00F5024E">
              <w:rPr>
                <w:szCs w:val="28"/>
              </w:rPr>
              <w:t>25/2018/TT-BGTVT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đường ngang và cấp giấy phép xây dựng công trình thiết yếu trong phạm vi đất dành cho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r w:rsidR="00E053C7" w:rsidRPr="00A2299A" w:rsidTr="00BD1B1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p w:rsidR="00E053C7" w:rsidRPr="00F5024E" w:rsidRDefault="00E053C7" w:rsidP="00220390">
            <w:pPr>
              <w:widowControl w:val="0"/>
              <w:ind w:left="57" w:right="57"/>
              <w:jc w:val="center"/>
              <w:rPr>
                <w:szCs w:val="28"/>
              </w:rPr>
            </w:pPr>
            <w:r w:rsidRPr="00F5024E">
              <w:rPr>
                <w:szCs w:val="28"/>
              </w:rPr>
              <w:t>26/2018/TT-BGTVT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điều kiện, trình tự, thủ tục thực hiện kết nối ray đường sắt đô thị, đường sắt chuyên dùng với đường sắt quốc gia; việc kết nối ray các tuyến đường sắt đô thị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r w:rsidR="00E053C7" w:rsidRPr="00A2299A" w:rsidTr="00BD1B10">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p>
          <w:p w:rsidR="00E053C7" w:rsidRPr="00F5024E" w:rsidRDefault="00E053C7" w:rsidP="00220390">
            <w:pPr>
              <w:widowControl w:val="0"/>
              <w:ind w:left="57" w:right="57"/>
              <w:jc w:val="center"/>
              <w:rPr>
                <w:szCs w:val="28"/>
              </w:rPr>
            </w:pPr>
            <w:r w:rsidRPr="00F5024E">
              <w:rPr>
                <w:szCs w:val="28"/>
              </w:rPr>
              <w:t>27/2018/TT-BGTVT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xây dựng, công bố công lệnh tải trọng, công lệnh tốc độ trên đường sắt quốc gia, đường sắt đô thị chạy chung với đường sắt quốc gia, đường sắt chuyên dùng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r w:rsidR="00E053C7" w:rsidRPr="00A2299A" w:rsidTr="00BD1B10">
        <w:trPr>
          <w:trHeight w:val="8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28/2018/TT-BGTVT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kết nối tín hiệu đèn giao thông đường bộ với tín hiệu đèn báo hiệu trên đường bộ tại đường ngang, cung cấp thông tin hỗ trợ cảnh giới tại các điểm giao cắt giữa đường bộ và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r w:rsidR="00E053C7" w:rsidRPr="00A2299A" w:rsidTr="00BD1B10">
        <w:trPr>
          <w:trHeight w:val="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18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29/2018/TT-BGTVT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BD1B10">
            <w:pPr>
              <w:widowControl w:val="0"/>
              <w:ind w:left="57" w:right="57"/>
              <w:jc w:val="both"/>
              <w:rPr>
                <w:szCs w:val="28"/>
              </w:rPr>
            </w:pPr>
            <w:r w:rsidRPr="00F5024E">
              <w:rPr>
                <w:szCs w:val="28"/>
              </w:rPr>
              <w:t xml:space="preserve">Quy định về việc kiểm tra chất </w:t>
            </w:r>
            <w:r w:rsidRPr="00F5024E">
              <w:rPr>
                <w:szCs w:val="28"/>
              </w:rPr>
              <w:lastRenderedPageBreak/>
              <w:t xml:space="preserve">lượng, an toàn kỹ thuật và bảo vệ môi trường phương tiện giao thông </w:t>
            </w:r>
            <w:r w:rsidR="00BD1B10">
              <w:rPr>
                <w:szCs w:val="28"/>
              </w:rPr>
              <w:t>ĐS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65" w:type="dxa"/>
            <w:vAlign w:val="center"/>
          </w:tcPr>
          <w:p w:rsidR="00E053C7" w:rsidRPr="00A2299A" w:rsidRDefault="00E053C7" w:rsidP="00220390">
            <w:pPr>
              <w:widowControl w:val="0"/>
              <w:ind w:left="57" w:right="57"/>
              <w:jc w:val="center"/>
              <w:rPr>
                <w:sz w:val="24"/>
              </w:rPr>
            </w:pPr>
          </w:p>
        </w:tc>
      </w:tr>
      <w:tr w:rsidR="00E053C7" w:rsidRPr="00A2299A" w:rsidTr="00BD1B10">
        <w:trPr>
          <w:trHeight w:val="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lastRenderedPageBreak/>
              <w:t>19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30/2018/TT-BGTVT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Ban hành 02 Quy chuẩn kỹ thuật quốc gia về phương tiện giao thông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Còn hiệu lực</w:t>
            </w:r>
          </w:p>
        </w:tc>
        <w:tc>
          <w:tcPr>
            <w:tcW w:w="713" w:type="dxa"/>
            <w:tcBorders>
              <w:left w:val="single" w:sz="4" w:space="0" w:color="auto"/>
            </w:tcBorders>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65" w:type="dxa"/>
            <w:vAlign w:val="center"/>
          </w:tcPr>
          <w:p w:rsidR="00E053C7" w:rsidRPr="00A2299A" w:rsidRDefault="00E053C7" w:rsidP="00220390">
            <w:pPr>
              <w:widowControl w:val="0"/>
              <w:ind w:left="57" w:right="57"/>
              <w:jc w:val="center"/>
              <w:rPr>
                <w:sz w:val="24"/>
              </w:rPr>
            </w:pPr>
          </w:p>
        </w:tc>
      </w:tr>
      <w:tr w:rsidR="00E053C7" w:rsidRPr="00A2299A" w:rsidTr="00BD1B10">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31/2018/TT-BGTVT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thực hiện đánh giá, chứng nhận an toàn hệ thống đối với đường sắt đô thị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Còn hiệu lực</w:t>
            </w:r>
          </w:p>
        </w:tc>
        <w:tc>
          <w:tcPr>
            <w:tcW w:w="713" w:type="dxa"/>
            <w:tcBorders>
              <w:left w:val="single" w:sz="4" w:space="0" w:color="auto"/>
            </w:tcBorders>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36" w:type="dxa"/>
            <w:vAlign w:val="center"/>
          </w:tcPr>
          <w:p w:rsidR="00E053C7" w:rsidRPr="00A2299A" w:rsidRDefault="00E053C7" w:rsidP="00220390">
            <w:pPr>
              <w:widowControl w:val="0"/>
              <w:ind w:left="57" w:right="57"/>
              <w:jc w:val="center"/>
              <w:rPr>
                <w:sz w:val="24"/>
              </w:rPr>
            </w:pPr>
          </w:p>
        </w:tc>
        <w:tc>
          <w:tcPr>
            <w:tcW w:w="265" w:type="dxa"/>
            <w:vAlign w:val="center"/>
          </w:tcPr>
          <w:p w:rsidR="00E053C7" w:rsidRPr="00A2299A" w:rsidRDefault="00E053C7" w:rsidP="00220390">
            <w:pPr>
              <w:widowControl w:val="0"/>
              <w:ind w:left="57" w:right="57"/>
              <w:jc w:val="center"/>
              <w:rPr>
                <w:sz w:val="24"/>
              </w:rPr>
            </w:pPr>
          </w:p>
        </w:tc>
      </w:tr>
      <w:tr w:rsidR="00E053C7" w:rsidRPr="00A2299A" w:rsidTr="00BD1B10">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32/2018/TT-BGTVT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Ban hành 02 Quy chuẩn kỹ thuật quốc gia về đường sắt (QCVN 06, 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r w:rsidR="00E053C7" w:rsidRPr="00A2299A" w:rsidTr="00BD1B10">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22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843"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33/2018/TT-BGTVT</w:t>
            </w:r>
          </w:p>
        </w:tc>
        <w:tc>
          <w:tcPr>
            <w:tcW w:w="255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trên đường sắt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01/7/2018</w:t>
            </w:r>
          </w:p>
        </w:tc>
        <w:tc>
          <w:tcPr>
            <w:tcW w:w="1276" w:type="dxa"/>
            <w:tcBorders>
              <w:top w:val="single" w:sz="4" w:space="0" w:color="auto"/>
              <w:bottom w:val="single" w:sz="4" w:space="0" w:color="auto"/>
              <w:right w:val="single" w:sz="4" w:space="0" w:color="auto"/>
            </w:tcBorders>
            <w:vAlign w:val="center"/>
          </w:tcPr>
          <w:p w:rsidR="00E053C7" w:rsidRPr="00F5024E" w:rsidRDefault="00E053C7" w:rsidP="00220390">
            <w:pPr>
              <w:widowControl w:val="0"/>
              <w:ind w:left="57" w:right="57"/>
              <w:jc w:val="center"/>
              <w:rPr>
                <w:szCs w:val="28"/>
              </w:rPr>
            </w:pPr>
            <w:r w:rsidRPr="00F5024E">
              <w:rPr>
                <w:szCs w:val="28"/>
              </w:rPr>
              <w:t>Còn hiệu lực</w:t>
            </w:r>
          </w:p>
        </w:tc>
        <w:tc>
          <w:tcPr>
            <w:tcW w:w="713" w:type="dxa"/>
            <w:tcBorders>
              <w:left w:val="single" w:sz="4" w:space="0" w:color="auto"/>
            </w:tcBorders>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36" w:type="dxa"/>
            <w:vAlign w:val="center"/>
          </w:tcPr>
          <w:p w:rsidR="00E053C7" w:rsidRPr="005429FF" w:rsidRDefault="00E053C7" w:rsidP="00220390">
            <w:pPr>
              <w:widowControl w:val="0"/>
              <w:ind w:left="57" w:right="57"/>
              <w:jc w:val="center"/>
              <w:rPr>
                <w:sz w:val="24"/>
              </w:rPr>
            </w:pPr>
          </w:p>
        </w:tc>
        <w:tc>
          <w:tcPr>
            <w:tcW w:w="265" w:type="dxa"/>
            <w:vAlign w:val="center"/>
          </w:tcPr>
          <w:p w:rsidR="00E053C7" w:rsidRPr="005429FF" w:rsidRDefault="00E053C7" w:rsidP="00220390">
            <w:pPr>
              <w:widowControl w:val="0"/>
              <w:ind w:left="57" w:right="57"/>
              <w:jc w:val="center"/>
              <w:rPr>
                <w:sz w:val="24"/>
              </w:rPr>
            </w:pPr>
          </w:p>
        </w:tc>
      </w:tr>
    </w:tbl>
    <w:p w:rsidR="00E053C7" w:rsidRDefault="00E053C7" w:rsidP="00220390">
      <w:pPr>
        <w:widowControl w:val="0"/>
        <w:spacing w:after="200" w:line="276" w:lineRule="auto"/>
        <w:rPr>
          <w:b/>
          <w:szCs w:val="28"/>
        </w:rPr>
      </w:pPr>
    </w:p>
    <w:p w:rsidR="00E053C7" w:rsidRPr="00220390" w:rsidRDefault="00E053C7" w:rsidP="00A169AD">
      <w:pPr>
        <w:pStyle w:val="Heading1"/>
        <w:keepNext w:val="0"/>
        <w:keepLines w:val="0"/>
        <w:widowControl w:val="0"/>
        <w:spacing w:before="120" w:after="120"/>
        <w:jc w:val="center"/>
        <w:rPr>
          <w:rFonts w:ascii="Times New Roman" w:hAnsi="Times New Roman" w:cs="Times New Roman"/>
          <w:color w:val="auto"/>
        </w:rPr>
      </w:pPr>
      <w:r>
        <w:rPr>
          <w:b w:val="0"/>
        </w:rPr>
        <w:br w:type="page"/>
      </w:r>
      <w:bookmarkStart w:id="3" w:name="_Toc25069670"/>
      <w:r w:rsidRPr="00220390">
        <w:rPr>
          <w:rFonts w:ascii="Times New Roman" w:hAnsi="Times New Roman" w:cs="Times New Roman"/>
          <w:color w:val="auto"/>
        </w:rPr>
        <w:lastRenderedPageBreak/>
        <w:t>Phụ lục số 2</w:t>
      </w:r>
      <w:bookmarkEnd w:id="3"/>
    </w:p>
    <w:p w:rsidR="00E053C7" w:rsidRDefault="00E053C7" w:rsidP="00220390">
      <w:pPr>
        <w:pStyle w:val="Heading1"/>
        <w:keepNext w:val="0"/>
        <w:keepLines w:val="0"/>
        <w:widowControl w:val="0"/>
        <w:spacing w:before="120" w:after="120"/>
        <w:jc w:val="center"/>
        <w:rPr>
          <w:rFonts w:ascii="Times New Roman" w:hAnsi="Times New Roman" w:cs="Times New Roman"/>
          <w:color w:val="auto"/>
        </w:rPr>
      </w:pPr>
      <w:bookmarkStart w:id="4" w:name="_Toc25069671"/>
      <w:r w:rsidRPr="00220390">
        <w:rPr>
          <w:rFonts w:ascii="Times New Roman" w:hAnsi="Times New Roman" w:cs="Times New Roman"/>
          <w:color w:val="auto"/>
        </w:rPr>
        <w:t xml:space="preserve">DANH MỤC VĂN BẢN HẾT HIỆU LỰC TOÀN BỘ </w:t>
      </w:r>
      <w:bookmarkEnd w:id="4"/>
      <w:r w:rsidR="00A169AD">
        <w:rPr>
          <w:rFonts w:ascii="Times New Roman" w:hAnsi="Times New Roman" w:cs="Times New Roman"/>
          <w:color w:val="auto"/>
        </w:rPr>
        <w:t xml:space="preserve"> </w:t>
      </w:r>
    </w:p>
    <w:p w:rsidR="00A169AD" w:rsidRPr="00A169AD" w:rsidRDefault="00A169AD" w:rsidP="00A169AD"/>
    <w:tbl>
      <w:tblPr>
        <w:tblW w:w="17834" w:type="dxa"/>
        <w:tblInd w:w="-172" w:type="dxa"/>
        <w:tblLayout w:type="fixed"/>
        <w:tblLook w:val="0000" w:firstRow="0" w:lastRow="0" w:firstColumn="0" w:lastColumn="0" w:noHBand="0" w:noVBand="0"/>
      </w:tblPr>
      <w:tblGrid>
        <w:gridCol w:w="706"/>
        <w:gridCol w:w="1134"/>
        <w:gridCol w:w="1701"/>
        <w:gridCol w:w="2976"/>
        <w:gridCol w:w="1560"/>
        <w:gridCol w:w="1417"/>
        <w:gridCol w:w="2100"/>
        <w:gridCol w:w="1560"/>
        <w:gridCol w:w="1560"/>
        <w:gridCol w:w="1560"/>
        <w:gridCol w:w="1560"/>
      </w:tblGrid>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STT</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Tên loại văn bản</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Số, ký hiệu; ngày, tháng, năm ban hành văn bản</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Tên gọi của văn bản/Trích yếu nội dung của văn bản</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b/>
                <w:bCs/>
                <w:szCs w:val="28"/>
              </w:rPr>
            </w:pPr>
            <w:r w:rsidRPr="00F5024E">
              <w:rPr>
                <w:b/>
                <w:bCs/>
                <w:szCs w:val="28"/>
              </w:rPr>
              <w:t>Lý do hết hiệu lực, ngưng hiệu lực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Ngày hết hiệu lực</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Luật</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35/2005/QH11</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Luật Đường sắt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w:t>
            </w:r>
            <w:r w:rsidR="001B3D63" w:rsidRPr="00F5024E">
              <w:rPr>
                <w:szCs w:val="28"/>
              </w:rPr>
              <w:t>h</w:t>
            </w:r>
            <w:r w:rsidRPr="00F5024E">
              <w:rPr>
                <w:szCs w:val="28"/>
              </w:rPr>
              <w:t>ay thế bởi Luật Đường sắt số 06/2017/QH14 ngày 16/6/2017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01/7/2017</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Nghị định</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14/2015/NĐ-CP</w:t>
            </w:r>
          </w:p>
          <w:p w:rsidR="00E053C7" w:rsidRPr="00F5024E" w:rsidRDefault="00E053C7" w:rsidP="00220390">
            <w:pPr>
              <w:widowControl w:val="0"/>
              <w:jc w:val="center"/>
              <w:rPr>
                <w:szCs w:val="28"/>
              </w:rPr>
            </w:pP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Nghị định quy định chi tiết hướng dẫn một số điều của Luật Đường sắt (thay thế cho Nghị định số 109/2006/NĐ-CP; ngày 22/9/2006 và 03/2012/NĐ-CP)</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Nghị định số 65/2018/NĐ-CP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01/7/2017</w:t>
            </w:r>
          </w:p>
        </w:tc>
      </w:tr>
      <w:tr w:rsidR="00E053C7" w:rsidRPr="00CD7E7B" w:rsidTr="00F5024E">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Nghị định</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55/2006/NĐ-CP</w:t>
            </w:r>
          </w:p>
          <w:p w:rsidR="00E053C7" w:rsidRPr="00F5024E" w:rsidRDefault="00E053C7" w:rsidP="00220390">
            <w:pPr>
              <w:widowControl w:val="0"/>
              <w:jc w:val="center"/>
              <w:rPr>
                <w:szCs w:val="28"/>
              </w:rPr>
            </w:pP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bookmarkStart w:id="5" w:name="loai_1_name"/>
            <w:r w:rsidRPr="00F5024E">
              <w:rPr>
                <w:szCs w:val="28"/>
              </w:rPr>
              <w:t>quy định về tổ chức, nhiệm vụ, quyền hạn, trang thiết bị, trang phục, phù hiệu và công cụ hỗ trợcủa lực l</w:t>
            </w:r>
            <w:r w:rsidRPr="00F5024E">
              <w:rPr>
                <w:szCs w:val="28"/>
              </w:rPr>
              <w:softHyphen/>
              <w:t>ượng bảo vệ trên tàu hoả</w:t>
            </w:r>
            <w:bookmarkEnd w:id="5"/>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Nghị định số 75/2018/NĐ-CP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01/7/2017</w:t>
            </w:r>
          </w:p>
        </w:tc>
        <w:tc>
          <w:tcPr>
            <w:tcW w:w="210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r>
      <w:tr w:rsidR="00E053C7" w:rsidRPr="00CD7E7B" w:rsidTr="00F5024E">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Quyết định</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84/2007/QĐ-TTg</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 xml:space="preserve">Quyết định về phương thức và mức thu phí, giá thuê sử dụng kết cấu hạ tầng đường sắt quốc gia do Nhà nước đầu tư </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 xml:space="preserve"> Quyết định này hết hiệu lực theo quy định tại khoản 4 Điều 154 Luật Ban hành văn bản QPPL 2015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c>
          <w:tcPr>
            <w:tcW w:w="210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c>
          <w:tcPr>
            <w:tcW w:w="1560" w:type="dxa"/>
            <w:vAlign w:val="center"/>
          </w:tcPr>
          <w:p w:rsidR="00E053C7" w:rsidRPr="00CD7E7B" w:rsidRDefault="00E053C7" w:rsidP="00220390">
            <w:pPr>
              <w:widowControl w:val="0"/>
              <w:jc w:val="center"/>
              <w:rPr>
                <w:sz w:val="24"/>
              </w:rPr>
            </w:pP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lastRenderedPageBreak/>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Quyết định</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37/2006/QĐ-BGTVT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Quy định nội dung và quy trình sát hạch giấy phép lái tài trên đường sắt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32/2008/QĐ-BGTVT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Ban hành chương trình đào tạo các chức danh nhân viên đường sắt trực tiếp phục vụ chạy tàu</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38/2010/TT-BGTVT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Thông tư quy định về tiêu chuẩn các chức danh nhân viên đường sắt trực tiếp phục vụ chạy tàu, điều kiện cơ sở đào tạo và nội dung chương trình đào tạo nhân viên đường sắt trực tiếp phục vụ chạy tàu (thay thế cho các quyết định số 67/2005/QĐ-BGTVT; 32/2008/QĐ-BGTVT; 21/2008/QĐ-BGTVT)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đã 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05/2011/TT-BGTVT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Thông tư hướng dẫn về việc kết nối các tuyến đường sắt đô thị, đường sắt chuyên dùng vào đường sắt quốc gia</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đã được thay thế bởi Thông tư số 26/2018/TT-BGTVT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66/2011/TT-BGTVT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Thông tư  về việc ban hành 03 Quy chuẩn kỹ thuật quốc gia về Đường sắt (thay thế cho QĐ 74/2005/QĐ-BGTVT; 75/2005/QĐ-BGTVT; 76/2005/QĐ-BGTVT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32/2018/TT-BGTVT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34/2012/TT-BGTVT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 xml:space="preserve">Thông tư quy định danh mục, biện pháp bảo đảm an toàn đối với phương </w:t>
            </w:r>
            <w:r w:rsidRPr="00F5024E">
              <w:rPr>
                <w:szCs w:val="28"/>
              </w:rPr>
              <w:lastRenderedPageBreak/>
              <w:t>tiện động lực chuyên dùng khi khai thác, vận dụng trên đường sắt không bắt buộc phải có thiết bị ghi tốc độ và các thông tin liên quan đến việc điều hành chạy tàu (hộp đen)</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lastRenderedPageBreak/>
              <w:t xml:space="preserve">được thay thế bởi thông tư số </w:t>
            </w:r>
            <w:r w:rsidRPr="00F5024E">
              <w:rPr>
                <w:szCs w:val="28"/>
              </w:rPr>
              <w:lastRenderedPageBreak/>
              <w:t>20/2018/TT-BGTVT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lastRenderedPageBreak/>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lastRenderedPageBreak/>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38/2012/TT-BGTVT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Thông tư quy định về quản lý, khai thác cầu chung (thay thế Quyết định số 356-QĐ/PC ngày 22 tháng 3 năm 1982 của Bộ trưởng Bộ Giao thông vận tải)</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11/2018/TT-BGTVT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01/2013/TT-BGTVT</w:t>
            </w:r>
            <w:r w:rsidRPr="00F5024E">
              <w:rPr>
                <w:szCs w:val="28"/>
              </w:rPr>
              <w:br/>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Thông tư quy định về đăng ký phương tiện giao thông đường sắt (thay thế 55/2005/QĐ-BGTVT; 29/2006/QĐ-BGTVT; 26/2011/TT-BGTVT)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21/2018/TT-BGTVT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08/2014/TT-BGTVT </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Quy định về kết nối tín hiệu giao thông đường bộ và đường sắt và kết nối thông tin điện thoại hỗ trợ địa phương cảnh giới.</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28/2018/TT-BGTVT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13" w:history="1">
              <w:r w:rsidR="00E053C7" w:rsidRPr="00F5024E">
                <w:rPr>
                  <w:szCs w:val="28"/>
                </w:rPr>
                <w:t>30/2014/TT-BGTVT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14" w:history="1">
              <w:r w:rsidR="00E053C7" w:rsidRPr="00F5024E">
                <w:rPr>
                  <w:szCs w:val="28"/>
                </w:rPr>
                <w:t>Thông tư quy định về cấp Chứng chỉ an toàn đối với doanh nghiệp kinh doanh đường sắt</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căn cứ pháp lý là Luật Đường sắt 2005 đã hết hiệu lực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15" w:history="1">
              <w:r w:rsidR="00E053C7" w:rsidRPr="00F5024E">
                <w:rPr>
                  <w:szCs w:val="28"/>
                </w:rPr>
                <w:t>37/2014/TT-BGTVT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16" w:history="1">
              <w:r w:rsidR="00E053C7" w:rsidRPr="00F5024E">
                <w:rPr>
                  <w:szCs w:val="28"/>
                </w:rPr>
                <w:t>Thông tư quy định về phạm vi bảo vệ công trình, hành lang an toàn giao thông đường sắt đô thị.</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Nội dung này được quy định tại Nghị định số 56/2016/NĐ-CP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lastRenderedPageBreak/>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17" w:history="1">
              <w:r w:rsidR="00E053C7" w:rsidRPr="00F5024E">
                <w:rPr>
                  <w:szCs w:val="28"/>
                </w:rPr>
                <w:t>78/2014/TT-BGTVT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18" w:history="1">
              <w:r w:rsidR="00E053C7" w:rsidRPr="00F5024E">
                <w:rPr>
                  <w:szCs w:val="28"/>
                </w:rPr>
                <w:t>Thông tư quy định về việc vận tải hành khách, hành lý, bao gửi trên đường sắt quốc gia</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24/2018/TT-BGTVT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17</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19" w:history="1">
              <w:r w:rsidR="00E053C7" w:rsidRPr="00F5024E">
                <w:rPr>
                  <w:szCs w:val="28"/>
                </w:rPr>
                <w:t>83/2014/TT-BGTVT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20" w:history="1">
              <w:r w:rsidR="00E053C7" w:rsidRPr="00F5024E">
                <w:rPr>
                  <w:szCs w:val="28"/>
                </w:rPr>
                <w:t>Thông tư quy định về vận tải hàng hóa trên đường sắt quốc gia</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22/2018/TT-BGTVT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05/2015/TT-BGTVT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21" w:history="1">
              <w:r w:rsidR="00E053C7" w:rsidRPr="00F5024E">
                <w:rPr>
                  <w:szCs w:val="28"/>
                </w:rPr>
                <w:t>Thông tư quy định về tiêu chuẩn chức danh nhân viên trực tiếp phục vụ chạy tàu đường sắt đô thị</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12/2015/TT-BGTVT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Ban hành Quy chuẩn kỹ thuật quốc gia về khai thác đường sắt (Bãi bỏ QCVN 08:2011/BGTVT ban hành kèm theo Thông tư số 66/2011/TT-BGTVT ngày 28/11/2011)</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32/2018/TT-BGTVT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22" w:history="1">
              <w:r w:rsidR="00E053C7" w:rsidRPr="00F5024E">
                <w:rPr>
                  <w:szCs w:val="28"/>
                </w:rPr>
                <w:t>31/2015/TT-BGTVT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23" w:history="1">
              <w:r w:rsidR="00E053C7" w:rsidRPr="00F5024E">
                <w:rPr>
                  <w:szCs w:val="28"/>
                </w:rPr>
                <w:t>Thông tư quy định về nội dung, quy trình sát hạch cấp giấy phép lái tàu trên đường sắt đô thị</w:t>
              </w:r>
            </w:hyperlink>
            <w:r w:rsidR="00E053C7" w:rsidRPr="00F5024E">
              <w:rPr>
                <w:szCs w:val="28"/>
              </w:rPr>
              <w:t xml:space="preserve"> (bãi bỏ Quyết định số 37/2006/QĐ-BGTVT)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62/2015/TT-BGTVT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Quy định về đường ngang</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25/2018/TT-BGTVT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22</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24" w:history="1">
              <w:r w:rsidR="00E053C7" w:rsidRPr="00F5024E">
                <w:rPr>
                  <w:szCs w:val="28"/>
                </w:rPr>
                <w:t>74/2015/TT-BGTVT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25" w:history="1">
              <w:r w:rsidR="00E053C7" w:rsidRPr="00F5024E">
                <w:rPr>
                  <w:szCs w:val="28"/>
                </w:rPr>
                <w:t>Thông tư quy định về giải quyết sự cố, tai nạn giao thông trên đường sắt đô thị</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76/2015/TT-BGTVT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F5024E">
            <w:pPr>
              <w:widowControl w:val="0"/>
              <w:jc w:val="both"/>
              <w:rPr>
                <w:szCs w:val="28"/>
              </w:rPr>
            </w:pPr>
            <w:r w:rsidRPr="00F5024E">
              <w:rPr>
                <w:szCs w:val="28"/>
              </w:rPr>
              <w:br/>
              <w:t>Đào tạo, sát hạch, cấp giấy phép điều khiển PTGT  </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lastRenderedPageBreak/>
              <w:t>24</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77/2015/TT-BGTVT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Quy định về việc vận tải hành khách, hành lý trên đường sắt đô thị</w:t>
            </w:r>
          </w:p>
          <w:p w:rsidR="00E053C7" w:rsidRPr="00F5024E" w:rsidRDefault="00E053C7" w:rsidP="00220390">
            <w:pPr>
              <w:widowControl w:val="0"/>
              <w:jc w:val="both"/>
              <w:rPr>
                <w:szCs w:val="28"/>
              </w:rPr>
            </w:pP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Luật Đường sắt 2017 giao chính quyền địa phương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78/2015/TT-BGTVT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26" w:history="1">
              <w:r w:rsidR="00E053C7" w:rsidRPr="00F5024E">
                <w:rPr>
                  <w:szCs w:val="28"/>
                </w:rPr>
                <w:t>Thông tư quy định về xây dựng, ban hành, công bố công lệnh tải trọng, công lệnh tốc độ, biểu đồ chạy tàu trên đường sắt quốc gia</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24/2018/TT-BGTVT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26</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27" w:history="1">
              <w:r w:rsidR="00E053C7" w:rsidRPr="00F5024E">
                <w:rPr>
                  <w:szCs w:val="28"/>
                </w:rPr>
                <w:t>80/2015/TT-BGTVT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28" w:history="1">
              <w:r w:rsidR="00E053C7" w:rsidRPr="00F5024E">
                <w:rPr>
                  <w:szCs w:val="28"/>
                </w:rPr>
                <w:t>Thông tư quy định về việc cấp Giấy phép liên quan đến hoạt động xây dựng trong phạm vi bảo vệ công trình đường sắt</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25/2018/TT-BGTVT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center"/>
              <w:rPr>
                <w:szCs w:val="28"/>
              </w:rPr>
            </w:pPr>
            <w:hyperlink r:id="rId29" w:history="1">
              <w:r w:rsidR="00E053C7" w:rsidRPr="00F5024E">
                <w:rPr>
                  <w:szCs w:val="28"/>
                </w:rPr>
                <w:t>81/2015/TT-BGTVT</w:t>
              </w:r>
            </w:hyperlink>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jc w:val="both"/>
              <w:rPr>
                <w:szCs w:val="28"/>
              </w:rPr>
            </w:pPr>
            <w:hyperlink r:id="rId30" w:history="1">
              <w:r w:rsidR="00E053C7" w:rsidRPr="00F5024E">
                <w:rPr>
                  <w:szCs w:val="28"/>
                </w:rPr>
                <w:t>Thông tư quy định về quản lý và bảo trì công trình đường sắt</w:t>
              </w:r>
            </w:hyperlink>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16/2018/TT-BGTVT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28</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 xml:space="preserve">Thông tư </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13/2016/TT-BGTVT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Sửa đổi, bổ sung một số điều của thông tư số </w:t>
            </w:r>
            <w:hyperlink r:id="rId31" w:tgtFrame="_blank" w:history="1">
              <w:r w:rsidRPr="00F5024E">
                <w:rPr>
                  <w:szCs w:val="28"/>
                </w:rPr>
                <w:t>01/2013/TT-BGTVT</w:t>
              </w:r>
            </w:hyperlink>
            <w:r w:rsidRPr="00F5024E">
              <w:rPr>
                <w:szCs w:val="28"/>
              </w:rPr>
              <w:t> ngày 08 tháng 01 năm 2013 của bộ trưởng bộ giao thông vận tải quy định về đăng ký phương tiện giao thông đường sắt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21/2018/TT-BGTVT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38/2016/TT-BGTVT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Quy định về giải quyết sự cố, tai nạn giao thông đường sắt</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được thay thế bởi thông tư số 23/2018/TT-BGTVT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r w:rsidR="00E053C7" w:rsidRPr="00CD7E7B" w:rsidTr="00F5024E">
        <w:trPr>
          <w:gridAfter w:val="5"/>
          <w:wAfter w:w="8340" w:type="dxa"/>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Thông tư</w:t>
            </w:r>
          </w:p>
        </w:tc>
        <w:tc>
          <w:tcPr>
            <w:tcW w:w="1701"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45/2016/TT-BGTVT</w:t>
            </w:r>
          </w:p>
        </w:tc>
        <w:tc>
          <w:tcPr>
            <w:tcW w:w="2976"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both"/>
              <w:rPr>
                <w:szCs w:val="28"/>
              </w:rPr>
            </w:pPr>
            <w:r w:rsidRPr="00F5024E">
              <w:rPr>
                <w:szCs w:val="28"/>
              </w:rPr>
              <w:t xml:space="preserve">sửa đổi, bổ sung một số điều của thông tư số </w:t>
            </w:r>
            <w:hyperlink r:id="rId32" w:tgtFrame="_blank" w:history="1">
              <w:r w:rsidRPr="00F5024E">
                <w:rPr>
                  <w:szCs w:val="28"/>
                </w:rPr>
                <w:t>76/2015/tt-bgtvt</w:t>
              </w:r>
            </w:hyperlink>
            <w:r w:rsidRPr="00F5024E">
              <w:rPr>
                <w:szCs w:val="28"/>
              </w:rPr>
              <w:t xml:space="preserve"> ngày 01 tháng 12 năm 2015 của bộ trưởng bộ giao thễng vận tải quy định về quản lí sát hạch, cấp </w:t>
            </w:r>
            <w:r w:rsidRPr="00F5024E">
              <w:rPr>
                <w:szCs w:val="28"/>
              </w:rPr>
              <w:lastRenderedPageBreak/>
              <w:t xml:space="preserve">mới, cấp lại, thu hồi giấy phép lái tàu trên đường sắt và thông tư số </w:t>
            </w:r>
            <w:hyperlink r:id="rId33" w:tgtFrame="_blank" w:history="1">
              <w:r w:rsidRPr="00F5024E">
                <w:rPr>
                  <w:szCs w:val="28"/>
                </w:rPr>
                <w:t>38/2010/tt-bgtvt</w:t>
              </w:r>
            </w:hyperlink>
            <w:r w:rsidRPr="00F5024E">
              <w:rPr>
                <w:szCs w:val="28"/>
              </w:rPr>
              <w:t xml:space="preserve"> ngày 17 tháng 12 năm 2010 của bộ trưởng bộ giao thễng vận tải quy định tiấu chuẩn các chức danh nhân viên đường sắt trực tiếp phục vụ chạy tàu, điều kiện cơ sở đào tạo và nội dung, chương trènh đào tạo nhân viên đường sắt trực tiếp phục vụ chạy tàu</w:t>
            </w:r>
          </w:p>
        </w:tc>
        <w:tc>
          <w:tcPr>
            <w:tcW w:w="1560"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lastRenderedPageBreak/>
              <w:t>được thay thế bởi thông tư số 33/2018/TT-BGTVT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01/7/2018</w:t>
            </w:r>
          </w:p>
        </w:tc>
      </w:tr>
    </w:tbl>
    <w:p w:rsidR="00E053C7" w:rsidRPr="00220390" w:rsidRDefault="00E053C7" w:rsidP="00A169AD">
      <w:pPr>
        <w:pStyle w:val="Heading1"/>
        <w:keepNext w:val="0"/>
        <w:keepLines w:val="0"/>
        <w:widowControl w:val="0"/>
        <w:spacing w:before="120" w:after="120"/>
        <w:jc w:val="center"/>
        <w:rPr>
          <w:rFonts w:ascii="Times New Roman" w:hAnsi="Times New Roman" w:cs="Times New Roman"/>
          <w:color w:val="auto"/>
        </w:rPr>
      </w:pPr>
      <w:r>
        <w:rPr>
          <w:b w:val="0"/>
        </w:rPr>
        <w:lastRenderedPageBreak/>
        <w:br w:type="page"/>
      </w:r>
      <w:bookmarkStart w:id="6" w:name="_Toc25069672"/>
      <w:r w:rsidRPr="00220390">
        <w:rPr>
          <w:rFonts w:ascii="Times New Roman" w:hAnsi="Times New Roman" w:cs="Times New Roman"/>
          <w:color w:val="auto"/>
        </w:rPr>
        <w:lastRenderedPageBreak/>
        <w:t>Phụ lục số 3</w:t>
      </w:r>
      <w:bookmarkEnd w:id="6"/>
    </w:p>
    <w:p w:rsidR="00E053C7" w:rsidRDefault="00E053C7" w:rsidP="00220390">
      <w:pPr>
        <w:pStyle w:val="Heading1"/>
        <w:keepNext w:val="0"/>
        <w:keepLines w:val="0"/>
        <w:widowControl w:val="0"/>
        <w:spacing w:before="120" w:after="120"/>
        <w:jc w:val="center"/>
        <w:rPr>
          <w:rFonts w:ascii="Times New Roman" w:hAnsi="Times New Roman" w:cs="Times New Roman"/>
          <w:color w:val="auto"/>
        </w:rPr>
      </w:pPr>
      <w:bookmarkStart w:id="7" w:name="_Toc25069673"/>
      <w:r w:rsidRPr="00220390">
        <w:rPr>
          <w:rFonts w:ascii="Times New Roman" w:hAnsi="Times New Roman" w:cs="Times New Roman"/>
          <w:color w:val="auto"/>
        </w:rPr>
        <w:t xml:space="preserve">DANH MỤC VĂN BẢN HẾT HIỆU LỰC MỘT PHẦN </w:t>
      </w:r>
      <w:bookmarkEnd w:id="7"/>
      <w:r w:rsidR="00A169AD">
        <w:rPr>
          <w:rFonts w:ascii="Times New Roman" w:hAnsi="Times New Roman" w:cs="Times New Roman"/>
          <w:color w:val="auto"/>
        </w:rPr>
        <w:t xml:space="preserve"> </w:t>
      </w:r>
    </w:p>
    <w:p w:rsidR="00A169AD" w:rsidRPr="00A169AD" w:rsidRDefault="00A169AD" w:rsidP="00A169AD"/>
    <w:tbl>
      <w:tblPr>
        <w:tblW w:w="9778" w:type="dxa"/>
        <w:tblInd w:w="-172" w:type="dxa"/>
        <w:tblLayout w:type="fixed"/>
        <w:tblLook w:val="0000" w:firstRow="0" w:lastRow="0" w:firstColumn="0" w:lastColumn="0" w:noHBand="0" w:noVBand="0"/>
      </w:tblPr>
      <w:tblGrid>
        <w:gridCol w:w="706"/>
        <w:gridCol w:w="1134"/>
        <w:gridCol w:w="1417"/>
        <w:gridCol w:w="2977"/>
        <w:gridCol w:w="1984"/>
        <w:gridCol w:w="1560"/>
      </w:tblGrid>
      <w:tr w:rsidR="00E053C7" w:rsidRPr="00852ED0" w:rsidTr="00F5024E">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szCs w:val="28"/>
              </w:rPr>
              <w:br w:type="page"/>
            </w:r>
            <w:r w:rsidRPr="00F5024E">
              <w:rPr>
                <w:b/>
                <w:szCs w:val="28"/>
              </w:rPr>
              <w:br w:type="page"/>
            </w:r>
            <w:r w:rsidRPr="00F5024E">
              <w:rPr>
                <w:b/>
                <w:bCs/>
                <w:szCs w:val="28"/>
              </w:rPr>
              <w:t>STT</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Tên loại văn bản</w:t>
            </w:r>
          </w:p>
        </w:tc>
        <w:tc>
          <w:tcPr>
            <w:tcW w:w="1417"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Số, ký hiệu; ngày, tháng, năm ban hành văn bản</w:t>
            </w:r>
          </w:p>
        </w:tc>
        <w:tc>
          <w:tcPr>
            <w:tcW w:w="2977"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 xml:space="preserve">Tên gọi của văn bản </w:t>
            </w:r>
          </w:p>
        </w:tc>
        <w:tc>
          <w:tcPr>
            <w:tcW w:w="1984"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b/>
                <w:bCs/>
                <w:szCs w:val="28"/>
              </w:rPr>
            </w:pPr>
            <w:r w:rsidRPr="00F5024E">
              <w:rPr>
                <w:b/>
                <w:bCs/>
                <w:szCs w:val="28"/>
              </w:rPr>
              <w:t>Lý do hết hiệu lực, ngưng hiệu lực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b/>
                <w:bCs/>
                <w:szCs w:val="28"/>
              </w:rPr>
            </w:pPr>
            <w:r w:rsidRPr="00F5024E">
              <w:rPr>
                <w:b/>
                <w:bCs/>
                <w:szCs w:val="28"/>
              </w:rPr>
              <w:t>Ngày hết hiệu lực</w:t>
            </w:r>
          </w:p>
        </w:tc>
      </w:tr>
      <w:tr w:rsidR="00E053C7" w:rsidRPr="00852ED0" w:rsidTr="00F5024E">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BD1B10">
            <w:pPr>
              <w:widowControl w:val="0"/>
              <w:ind w:left="57" w:right="57"/>
              <w:jc w:val="center"/>
              <w:rPr>
                <w:szCs w:val="28"/>
              </w:rPr>
            </w:pPr>
            <w:r w:rsidRPr="00F5024E">
              <w:rPr>
                <w:szCs w:val="28"/>
              </w:rPr>
              <w:t>Thông tư</w:t>
            </w:r>
          </w:p>
        </w:tc>
        <w:tc>
          <w:tcPr>
            <w:tcW w:w="1417"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BD1B10">
            <w:pPr>
              <w:widowControl w:val="0"/>
              <w:ind w:left="57" w:right="57"/>
              <w:jc w:val="center"/>
              <w:rPr>
                <w:szCs w:val="28"/>
              </w:rPr>
            </w:pPr>
            <w:r w:rsidRPr="00F5024E">
              <w:rPr>
                <w:szCs w:val="28"/>
              </w:rPr>
              <w:t>58/2012/TT-BGTVT</w:t>
            </w:r>
          </w:p>
          <w:p w:rsidR="00E053C7" w:rsidRPr="00F5024E" w:rsidRDefault="00E053C7" w:rsidP="00BD1B10">
            <w:pPr>
              <w:widowControl w:val="0"/>
              <w:ind w:left="57" w:right="57"/>
              <w:jc w:val="center"/>
              <w:rPr>
                <w:szCs w:val="2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both"/>
              <w:rPr>
                <w:szCs w:val="28"/>
              </w:rPr>
            </w:pPr>
            <w:r w:rsidRPr="00F5024E">
              <w:rPr>
                <w:szCs w:val="28"/>
              </w:rPr>
              <w:t>Thông tư ban hành định mức vật tư cho một chu kỳ bảo trì kết cấu hạ tầng đường sắt quốc gia</w:t>
            </w:r>
          </w:p>
        </w:tc>
        <w:tc>
          <w:tcPr>
            <w:tcW w:w="1984"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ind w:left="57" w:right="57"/>
              <w:jc w:val="both"/>
              <w:rPr>
                <w:szCs w:val="28"/>
              </w:rPr>
            </w:pPr>
            <w:r w:rsidRPr="00F5024E">
              <w:rPr>
                <w:szCs w:val="28"/>
              </w:rPr>
              <w:t xml:space="preserve">Hết hiệu lực một phần, được sửa đổi, bổ sung bởi thông tư số 22/2017/TT-BGTVT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01/9/2017</w:t>
            </w:r>
          </w:p>
        </w:tc>
      </w:tr>
      <w:tr w:rsidR="00E053C7" w:rsidRPr="00852ED0" w:rsidTr="00F5024E">
        <w:trPr>
          <w:trHeight w:val="990"/>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Thông tư</w:t>
            </w:r>
          </w:p>
        </w:tc>
        <w:tc>
          <w:tcPr>
            <w:tcW w:w="1417"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E053C7" w:rsidP="00220390">
            <w:pPr>
              <w:widowControl w:val="0"/>
              <w:ind w:left="57" w:right="57"/>
              <w:jc w:val="center"/>
              <w:rPr>
                <w:szCs w:val="28"/>
              </w:rPr>
            </w:pPr>
            <w:r w:rsidRPr="00F5024E">
              <w:rPr>
                <w:szCs w:val="28"/>
              </w:rPr>
              <w:t>01/2010/TT-BGTVT</w:t>
            </w:r>
          </w:p>
        </w:tc>
        <w:tc>
          <w:tcPr>
            <w:tcW w:w="2977" w:type="dxa"/>
            <w:tcBorders>
              <w:top w:val="single" w:sz="4" w:space="0" w:color="auto"/>
              <w:left w:val="nil"/>
              <w:bottom w:val="single" w:sz="4" w:space="0" w:color="auto"/>
              <w:right w:val="single" w:sz="4" w:space="0" w:color="auto"/>
            </w:tcBorders>
            <w:shd w:val="clear" w:color="auto" w:fill="auto"/>
            <w:vAlign w:val="center"/>
          </w:tcPr>
          <w:p w:rsidR="00E053C7" w:rsidRPr="00F5024E" w:rsidRDefault="00B034B0" w:rsidP="00220390">
            <w:pPr>
              <w:widowControl w:val="0"/>
              <w:ind w:left="57" w:right="57"/>
              <w:jc w:val="both"/>
              <w:rPr>
                <w:szCs w:val="28"/>
              </w:rPr>
            </w:pPr>
            <w:hyperlink r:id="rId34" w:tgtFrame="_blank" w:history="1">
              <w:r w:rsidR="00E053C7" w:rsidRPr="00F5024E">
                <w:rPr>
                  <w:szCs w:val="28"/>
                </w:rPr>
                <w:t>01/2010</w:t>
              </w:r>
            </w:hyperlink>
            <w:r w:rsidR="00E053C7" w:rsidRPr="00F5024E">
              <w:rPr>
                <w:szCs w:val="28"/>
              </w:rPr>
              <w:t xml:space="preserve"> ngày 11 tháng 01 năm 2010 của bộ trưởng bộ giao thông vận tải quy định về phòng, chống, khắc phục hậu quả lụt, bão; ứng phó sự cố, thiên tai và cứu nạn trong hoạt động đường sắt</w:t>
            </w:r>
          </w:p>
        </w:tc>
        <w:tc>
          <w:tcPr>
            <w:tcW w:w="1984" w:type="dxa"/>
            <w:tcBorders>
              <w:top w:val="single" w:sz="4" w:space="0" w:color="auto"/>
              <w:left w:val="nil"/>
              <w:bottom w:val="single" w:sz="4" w:space="0" w:color="auto"/>
              <w:right w:val="single" w:sz="4" w:space="0" w:color="auto"/>
            </w:tcBorders>
            <w:vAlign w:val="center"/>
          </w:tcPr>
          <w:p w:rsidR="00E053C7" w:rsidRPr="00F5024E" w:rsidRDefault="00E053C7" w:rsidP="00220390">
            <w:pPr>
              <w:widowControl w:val="0"/>
              <w:jc w:val="center"/>
              <w:rPr>
                <w:szCs w:val="28"/>
              </w:rPr>
            </w:pPr>
            <w:r w:rsidRPr="00F5024E">
              <w:rPr>
                <w:szCs w:val="28"/>
              </w:rPr>
              <w:t>Hết hiệu lực một phần, được sửa đổi, bổ sung bởi thông tư số 22/2017/TT-BGTVT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053C7" w:rsidRPr="00F5024E" w:rsidRDefault="00E053C7" w:rsidP="00220390">
            <w:pPr>
              <w:widowControl w:val="0"/>
              <w:jc w:val="center"/>
              <w:rPr>
                <w:szCs w:val="28"/>
              </w:rPr>
            </w:pPr>
            <w:r w:rsidRPr="00F5024E">
              <w:rPr>
                <w:szCs w:val="28"/>
              </w:rPr>
              <w:t>15/10/2017</w:t>
            </w:r>
          </w:p>
        </w:tc>
      </w:tr>
    </w:tbl>
    <w:p w:rsidR="00E053C7" w:rsidRDefault="00E053C7" w:rsidP="00220390">
      <w:pPr>
        <w:widowControl w:val="0"/>
        <w:spacing w:after="200" w:line="276" w:lineRule="auto"/>
        <w:rPr>
          <w:b/>
          <w:szCs w:val="28"/>
        </w:rPr>
      </w:pPr>
    </w:p>
    <w:p w:rsidR="00A169AD" w:rsidRDefault="00A169AD">
      <w:pPr>
        <w:spacing w:after="200" w:line="276" w:lineRule="auto"/>
        <w:rPr>
          <w:b/>
          <w:szCs w:val="28"/>
        </w:rPr>
      </w:pPr>
      <w:r>
        <w:rPr>
          <w:b/>
          <w:szCs w:val="28"/>
        </w:rPr>
        <w:br w:type="page"/>
      </w:r>
    </w:p>
    <w:p w:rsidR="00A169AD" w:rsidRPr="003C6DCA" w:rsidRDefault="00A169AD" w:rsidP="003C6DCA">
      <w:pPr>
        <w:pStyle w:val="Heading1"/>
        <w:keepNext w:val="0"/>
        <w:keepLines w:val="0"/>
        <w:widowControl w:val="0"/>
        <w:spacing w:before="120" w:after="120"/>
        <w:jc w:val="center"/>
        <w:rPr>
          <w:rFonts w:ascii="Times New Roman" w:hAnsi="Times New Roman" w:cs="Times New Roman"/>
          <w:color w:val="auto"/>
        </w:rPr>
      </w:pPr>
      <w:r w:rsidRPr="003C6DCA">
        <w:rPr>
          <w:rFonts w:ascii="Times New Roman" w:hAnsi="Times New Roman" w:cs="Times New Roman"/>
          <w:color w:val="auto"/>
        </w:rPr>
        <w:lastRenderedPageBreak/>
        <w:t>Phụ lục số 4</w:t>
      </w:r>
    </w:p>
    <w:p w:rsidR="00E053C7" w:rsidRDefault="00A169AD" w:rsidP="003C6DCA">
      <w:pPr>
        <w:widowControl w:val="0"/>
        <w:spacing w:after="200" w:line="276" w:lineRule="auto"/>
        <w:jc w:val="center"/>
        <w:rPr>
          <w:b/>
        </w:rPr>
      </w:pPr>
      <w:r w:rsidRPr="003C6DCA">
        <w:rPr>
          <w:b/>
        </w:rPr>
        <w:t>DANH MỤC QUY CHUẨN KỸ THUẬT</w:t>
      </w:r>
      <w:r w:rsidR="003C6DCA">
        <w:rPr>
          <w:b/>
        </w:rPr>
        <w:t xml:space="preserve"> ĐƯỜNG SẮT</w:t>
      </w:r>
      <w:r w:rsidR="00B034B0">
        <w:rPr>
          <w:b/>
        </w:rPr>
        <w:t xml:space="preserve"> CÒN HIỆU LỰC</w:t>
      </w:r>
    </w:p>
    <w:p w:rsidR="003C6DCA" w:rsidRPr="003C6DCA" w:rsidRDefault="003C6DCA" w:rsidP="003C6DCA">
      <w:pPr>
        <w:widowControl w:val="0"/>
        <w:spacing w:after="200" w:line="276" w:lineRule="auto"/>
        <w:jc w:val="center"/>
        <w:rPr>
          <w:b/>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078"/>
        <w:gridCol w:w="3827"/>
      </w:tblGrid>
      <w:tr w:rsidR="00A169AD" w:rsidRPr="00664ACE" w:rsidTr="00A169AD">
        <w:tc>
          <w:tcPr>
            <w:tcW w:w="735" w:type="dxa"/>
            <w:shd w:val="clear" w:color="auto" w:fill="auto"/>
            <w:vAlign w:val="center"/>
          </w:tcPr>
          <w:p w:rsidR="00A169AD" w:rsidRPr="003C6DCA" w:rsidRDefault="00A169AD" w:rsidP="00A169AD">
            <w:pPr>
              <w:numPr>
                <w:ilvl w:val="0"/>
                <w:numId w:val="1"/>
              </w:numPr>
              <w:spacing w:before="40" w:after="40" w:line="300" w:lineRule="auto"/>
              <w:jc w:val="center"/>
              <w:rPr>
                <w:szCs w:val="28"/>
              </w:rPr>
            </w:pPr>
          </w:p>
        </w:tc>
        <w:tc>
          <w:tcPr>
            <w:tcW w:w="5078" w:type="dxa"/>
            <w:shd w:val="clear" w:color="auto" w:fill="auto"/>
            <w:vAlign w:val="center"/>
          </w:tcPr>
          <w:p w:rsidR="00A169AD" w:rsidRPr="003C6DCA" w:rsidRDefault="00A169AD" w:rsidP="00A169AD">
            <w:pPr>
              <w:spacing w:before="40" w:after="40" w:line="300" w:lineRule="auto"/>
              <w:rPr>
                <w:szCs w:val="28"/>
              </w:rPr>
            </w:pPr>
            <w:r w:rsidRPr="003C6DCA">
              <w:rPr>
                <w:b/>
                <w:szCs w:val="28"/>
              </w:rPr>
              <w:t>QCVN 93:2016/BGTVT</w:t>
            </w:r>
            <w:r w:rsidRPr="003C6DCA">
              <w:rPr>
                <w:szCs w:val="28"/>
              </w:rPr>
              <w:t xml:space="preserve"> -  Quy chuẩn kỹ thuật quốc gia về vận hành và bảo trì đường sắt đô thị</w:t>
            </w:r>
          </w:p>
        </w:tc>
        <w:tc>
          <w:tcPr>
            <w:tcW w:w="3827" w:type="dxa"/>
            <w:shd w:val="clear" w:color="auto" w:fill="auto"/>
            <w:vAlign w:val="center"/>
          </w:tcPr>
          <w:p w:rsidR="00A169AD" w:rsidRPr="003C6DCA" w:rsidRDefault="00A169AD" w:rsidP="00A169AD">
            <w:pPr>
              <w:spacing w:before="40" w:after="40" w:line="300" w:lineRule="auto"/>
              <w:jc w:val="both"/>
              <w:rPr>
                <w:szCs w:val="28"/>
              </w:rPr>
            </w:pPr>
            <w:r w:rsidRPr="003C6DCA">
              <w:rPr>
                <w:szCs w:val="28"/>
              </w:rPr>
              <w:t>Bộ GTVT đã ban hành kèm theo Thông tư số 46/2016/TT-BGTVT ngày 19/12/2016</w:t>
            </w:r>
          </w:p>
        </w:tc>
      </w:tr>
      <w:tr w:rsidR="00A169AD" w:rsidRPr="00664ACE" w:rsidTr="00A169AD">
        <w:tc>
          <w:tcPr>
            <w:tcW w:w="735" w:type="dxa"/>
            <w:shd w:val="clear" w:color="auto" w:fill="auto"/>
            <w:vAlign w:val="center"/>
          </w:tcPr>
          <w:p w:rsidR="00A169AD" w:rsidRPr="003C6DCA" w:rsidRDefault="00A169AD" w:rsidP="00A169AD">
            <w:pPr>
              <w:numPr>
                <w:ilvl w:val="0"/>
                <w:numId w:val="1"/>
              </w:numPr>
              <w:spacing w:before="40" w:after="40" w:line="300" w:lineRule="auto"/>
              <w:jc w:val="center"/>
              <w:rPr>
                <w:szCs w:val="28"/>
              </w:rPr>
            </w:pPr>
          </w:p>
        </w:tc>
        <w:tc>
          <w:tcPr>
            <w:tcW w:w="5078" w:type="dxa"/>
            <w:shd w:val="clear" w:color="auto" w:fill="auto"/>
            <w:vAlign w:val="center"/>
          </w:tcPr>
          <w:p w:rsidR="00A169AD" w:rsidRPr="003C6DCA" w:rsidRDefault="00A169AD" w:rsidP="00A169AD">
            <w:pPr>
              <w:spacing w:before="40" w:after="40" w:line="300" w:lineRule="auto"/>
              <w:rPr>
                <w:b/>
                <w:szCs w:val="28"/>
              </w:rPr>
            </w:pPr>
            <w:r w:rsidRPr="003C6DCA">
              <w:rPr>
                <w:b/>
                <w:szCs w:val="28"/>
              </w:rPr>
              <w:t>QCVN 06:2018/BGTVT</w:t>
            </w:r>
            <w:r w:rsidRPr="003C6DCA">
              <w:rPr>
                <w:szCs w:val="28"/>
              </w:rPr>
              <w:t xml:space="preserve"> - Quy chuẩn kỹ thuật quốc gia về tín hiệu giao thông đường sắt</w:t>
            </w:r>
          </w:p>
        </w:tc>
        <w:tc>
          <w:tcPr>
            <w:tcW w:w="3827" w:type="dxa"/>
            <w:shd w:val="clear" w:color="auto" w:fill="auto"/>
            <w:vAlign w:val="center"/>
          </w:tcPr>
          <w:p w:rsidR="00A169AD" w:rsidRPr="003C6DCA" w:rsidRDefault="003C6DCA" w:rsidP="00A169AD">
            <w:pPr>
              <w:spacing w:before="40" w:after="40" w:line="300" w:lineRule="auto"/>
              <w:jc w:val="both"/>
              <w:rPr>
                <w:szCs w:val="28"/>
              </w:rPr>
            </w:pPr>
            <w:r w:rsidRPr="003C6DCA">
              <w:rPr>
                <w:szCs w:val="28"/>
              </w:rPr>
              <w:t>Bộ GTVT đã ban hành kèm theo Thông tư số 32/2018/TT-BGTVT ngày 15/5/2018</w:t>
            </w:r>
          </w:p>
        </w:tc>
      </w:tr>
      <w:tr w:rsidR="00A169AD" w:rsidRPr="00664ACE" w:rsidTr="00A169AD">
        <w:tc>
          <w:tcPr>
            <w:tcW w:w="735" w:type="dxa"/>
            <w:shd w:val="clear" w:color="auto" w:fill="auto"/>
            <w:vAlign w:val="center"/>
          </w:tcPr>
          <w:p w:rsidR="00A169AD" w:rsidRPr="003C6DCA" w:rsidRDefault="00A169AD" w:rsidP="00A169AD">
            <w:pPr>
              <w:numPr>
                <w:ilvl w:val="0"/>
                <w:numId w:val="1"/>
              </w:numPr>
              <w:spacing w:before="40" w:after="40" w:line="300" w:lineRule="auto"/>
              <w:jc w:val="center"/>
              <w:rPr>
                <w:szCs w:val="28"/>
              </w:rPr>
            </w:pPr>
          </w:p>
        </w:tc>
        <w:tc>
          <w:tcPr>
            <w:tcW w:w="5078" w:type="dxa"/>
            <w:shd w:val="clear" w:color="auto" w:fill="auto"/>
            <w:vAlign w:val="center"/>
          </w:tcPr>
          <w:p w:rsidR="00A169AD" w:rsidRPr="003C6DCA" w:rsidRDefault="00A169AD" w:rsidP="00A169AD">
            <w:pPr>
              <w:spacing w:before="40" w:after="40" w:line="300" w:lineRule="auto"/>
              <w:rPr>
                <w:szCs w:val="28"/>
              </w:rPr>
            </w:pPr>
            <w:r w:rsidRPr="003C6DCA">
              <w:rPr>
                <w:b/>
                <w:szCs w:val="28"/>
              </w:rPr>
              <w:t>QCVN 07:2018/BGTVT</w:t>
            </w:r>
            <w:r w:rsidRPr="003C6DCA">
              <w:rPr>
                <w:szCs w:val="28"/>
              </w:rPr>
              <w:t xml:space="preserve"> - Quy chuẩn kỹ thuật quốc gia về tín hiệu giao thông đường sắt</w:t>
            </w:r>
          </w:p>
        </w:tc>
        <w:tc>
          <w:tcPr>
            <w:tcW w:w="3827" w:type="dxa"/>
            <w:shd w:val="clear" w:color="auto" w:fill="auto"/>
            <w:vAlign w:val="center"/>
          </w:tcPr>
          <w:p w:rsidR="00A169AD" w:rsidRPr="003C6DCA" w:rsidRDefault="003C6DCA" w:rsidP="00A169AD">
            <w:pPr>
              <w:spacing w:before="40" w:after="40" w:line="300" w:lineRule="auto"/>
              <w:jc w:val="both"/>
              <w:rPr>
                <w:szCs w:val="28"/>
              </w:rPr>
            </w:pPr>
            <w:r w:rsidRPr="003C6DCA">
              <w:rPr>
                <w:szCs w:val="28"/>
              </w:rPr>
              <w:t>Hủy bỏ (Giao TCT ĐSVN rà soát, sửa đổi và ban hành)</w:t>
            </w:r>
          </w:p>
        </w:tc>
      </w:tr>
      <w:tr w:rsidR="00A169AD" w:rsidRPr="00664ACE" w:rsidTr="00A169AD">
        <w:tc>
          <w:tcPr>
            <w:tcW w:w="735" w:type="dxa"/>
            <w:shd w:val="clear" w:color="auto" w:fill="auto"/>
            <w:vAlign w:val="center"/>
          </w:tcPr>
          <w:p w:rsidR="00A169AD" w:rsidRPr="003C6DCA" w:rsidRDefault="00A169AD" w:rsidP="00A169AD">
            <w:pPr>
              <w:numPr>
                <w:ilvl w:val="0"/>
                <w:numId w:val="1"/>
              </w:numPr>
              <w:spacing w:before="40" w:after="40" w:line="300" w:lineRule="auto"/>
              <w:jc w:val="center"/>
              <w:rPr>
                <w:szCs w:val="28"/>
              </w:rPr>
            </w:pPr>
          </w:p>
        </w:tc>
        <w:tc>
          <w:tcPr>
            <w:tcW w:w="5078" w:type="dxa"/>
            <w:shd w:val="clear" w:color="auto" w:fill="auto"/>
            <w:vAlign w:val="center"/>
          </w:tcPr>
          <w:p w:rsidR="00A169AD" w:rsidRPr="003C6DCA" w:rsidRDefault="00A169AD" w:rsidP="00A169AD">
            <w:pPr>
              <w:spacing w:before="40" w:after="40" w:line="300" w:lineRule="auto"/>
              <w:rPr>
                <w:szCs w:val="28"/>
              </w:rPr>
            </w:pPr>
            <w:r w:rsidRPr="003C6DCA">
              <w:rPr>
                <w:b/>
                <w:szCs w:val="28"/>
              </w:rPr>
              <w:t>QCVN 08:2018/BGTVT</w:t>
            </w:r>
            <w:r w:rsidRPr="003C6DCA">
              <w:rPr>
                <w:szCs w:val="28"/>
              </w:rPr>
              <w:t xml:space="preserve"> - Quy chuẩn kỹ thuật quốc gia về khai thác đường sắt</w:t>
            </w:r>
          </w:p>
        </w:tc>
        <w:tc>
          <w:tcPr>
            <w:tcW w:w="3827" w:type="dxa"/>
            <w:shd w:val="clear" w:color="auto" w:fill="auto"/>
            <w:vAlign w:val="center"/>
          </w:tcPr>
          <w:p w:rsidR="00A169AD" w:rsidRPr="003C6DCA" w:rsidRDefault="003C6DCA" w:rsidP="00A169AD">
            <w:pPr>
              <w:spacing w:before="40" w:after="40" w:line="300" w:lineRule="auto"/>
              <w:rPr>
                <w:szCs w:val="28"/>
              </w:rPr>
            </w:pPr>
            <w:r w:rsidRPr="003C6DCA">
              <w:rPr>
                <w:szCs w:val="28"/>
              </w:rPr>
              <w:t>Bộ GTVT đã ban hành kèm theo Thông tư số 32/2018/TT-BGTVT ngày 15/5/2018</w:t>
            </w:r>
          </w:p>
        </w:tc>
      </w:tr>
      <w:tr w:rsidR="00A169AD" w:rsidRPr="00664ACE" w:rsidTr="00A169AD">
        <w:tc>
          <w:tcPr>
            <w:tcW w:w="735" w:type="dxa"/>
            <w:shd w:val="clear" w:color="auto" w:fill="auto"/>
            <w:vAlign w:val="center"/>
          </w:tcPr>
          <w:p w:rsidR="00A169AD" w:rsidRPr="003C6DCA" w:rsidRDefault="00A169AD" w:rsidP="00A169AD">
            <w:pPr>
              <w:numPr>
                <w:ilvl w:val="0"/>
                <w:numId w:val="1"/>
              </w:numPr>
              <w:spacing w:before="40" w:after="40" w:line="300" w:lineRule="auto"/>
              <w:jc w:val="center"/>
              <w:rPr>
                <w:szCs w:val="28"/>
              </w:rPr>
            </w:pPr>
          </w:p>
        </w:tc>
        <w:tc>
          <w:tcPr>
            <w:tcW w:w="5078" w:type="dxa"/>
            <w:shd w:val="clear" w:color="auto" w:fill="auto"/>
            <w:vAlign w:val="center"/>
          </w:tcPr>
          <w:p w:rsidR="00A169AD" w:rsidRPr="003C6DCA" w:rsidRDefault="00A169AD" w:rsidP="00A169AD">
            <w:pPr>
              <w:spacing w:before="40" w:after="40" w:line="300" w:lineRule="auto"/>
              <w:rPr>
                <w:b/>
                <w:szCs w:val="28"/>
              </w:rPr>
            </w:pPr>
            <w:r w:rsidRPr="003C6DCA">
              <w:rPr>
                <w:b/>
                <w:szCs w:val="28"/>
              </w:rPr>
              <w:t>QCVN 08:2018/BGTVT</w:t>
            </w:r>
            <w:r w:rsidRPr="003C6DCA">
              <w:rPr>
                <w:szCs w:val="28"/>
              </w:rPr>
              <w:t xml:space="preserve"> - Quy chuẩn kỹ thuật quốc gia về công trình tàu điện ngầm</w:t>
            </w:r>
          </w:p>
        </w:tc>
        <w:tc>
          <w:tcPr>
            <w:tcW w:w="3827" w:type="dxa"/>
            <w:shd w:val="clear" w:color="auto" w:fill="auto"/>
            <w:vAlign w:val="center"/>
          </w:tcPr>
          <w:p w:rsidR="00A169AD" w:rsidRPr="003C6DCA" w:rsidRDefault="00A169AD" w:rsidP="00A169AD">
            <w:pPr>
              <w:spacing w:before="40" w:after="40" w:line="300" w:lineRule="auto"/>
              <w:jc w:val="both"/>
              <w:rPr>
                <w:szCs w:val="28"/>
              </w:rPr>
            </w:pPr>
            <w:r w:rsidRPr="003C6DCA">
              <w:rPr>
                <w:szCs w:val="28"/>
              </w:rPr>
              <w:t>Bộ Xây dựng ban hành kèm theo Thông tư số 11/2018/TT-BXD ngày 26/12/2018.</w:t>
            </w:r>
          </w:p>
        </w:tc>
      </w:tr>
      <w:tr w:rsidR="00A169AD" w:rsidRPr="00664ACE" w:rsidTr="00A169AD">
        <w:tc>
          <w:tcPr>
            <w:tcW w:w="735" w:type="dxa"/>
            <w:shd w:val="clear" w:color="auto" w:fill="auto"/>
            <w:vAlign w:val="center"/>
          </w:tcPr>
          <w:p w:rsidR="00A169AD" w:rsidRPr="003C6DCA" w:rsidRDefault="00A169AD" w:rsidP="00A169AD">
            <w:pPr>
              <w:numPr>
                <w:ilvl w:val="0"/>
                <w:numId w:val="1"/>
              </w:numPr>
              <w:spacing w:before="40" w:after="40" w:line="300" w:lineRule="auto"/>
              <w:jc w:val="center"/>
              <w:rPr>
                <w:szCs w:val="28"/>
              </w:rPr>
            </w:pPr>
          </w:p>
        </w:tc>
        <w:tc>
          <w:tcPr>
            <w:tcW w:w="5078" w:type="dxa"/>
            <w:shd w:val="clear" w:color="auto" w:fill="auto"/>
            <w:vAlign w:val="center"/>
          </w:tcPr>
          <w:p w:rsidR="00A169AD" w:rsidRPr="003C6DCA" w:rsidRDefault="00A169AD" w:rsidP="00A169AD">
            <w:pPr>
              <w:spacing w:before="40" w:after="40" w:line="300" w:lineRule="auto"/>
              <w:rPr>
                <w:szCs w:val="28"/>
              </w:rPr>
            </w:pPr>
            <w:r w:rsidRPr="003C6DCA">
              <w:rPr>
                <w:b/>
                <w:szCs w:val="28"/>
              </w:rPr>
              <w:t>QCVN 104: 2019/BGTVT</w:t>
            </w:r>
            <w:r w:rsidRPr="003C6DCA">
              <w:rPr>
                <w:szCs w:val="28"/>
              </w:rPr>
              <w:t xml:space="preserve"> - Quy chuẩn kỹ thuật quốc gia về hệ thống thiết bị đường ngang cảnh báo tự động.</w:t>
            </w:r>
          </w:p>
        </w:tc>
        <w:tc>
          <w:tcPr>
            <w:tcW w:w="3827" w:type="dxa"/>
            <w:shd w:val="clear" w:color="auto" w:fill="auto"/>
            <w:vAlign w:val="center"/>
          </w:tcPr>
          <w:p w:rsidR="00A169AD" w:rsidRPr="003C6DCA" w:rsidRDefault="00A169AD" w:rsidP="00A169AD">
            <w:pPr>
              <w:spacing w:before="40" w:after="40" w:line="300" w:lineRule="auto"/>
              <w:jc w:val="both"/>
              <w:rPr>
                <w:szCs w:val="28"/>
              </w:rPr>
            </w:pPr>
            <w:r w:rsidRPr="003C6DCA">
              <w:rPr>
                <w:szCs w:val="28"/>
              </w:rPr>
              <w:t>Bộ GTVT đã ban hành kèm theo Thông tư số 24/2019/TT-BGTVT ngày 05/7/2019.</w:t>
            </w:r>
          </w:p>
        </w:tc>
      </w:tr>
      <w:bookmarkEnd w:id="1"/>
    </w:tbl>
    <w:p w:rsidR="00A169AD" w:rsidRDefault="00A169AD" w:rsidP="00220390">
      <w:pPr>
        <w:widowControl w:val="0"/>
        <w:spacing w:after="200" w:line="276" w:lineRule="auto"/>
        <w:rPr>
          <w:b/>
          <w:szCs w:val="28"/>
        </w:rPr>
      </w:pPr>
    </w:p>
    <w:sectPr w:rsidR="00A169AD" w:rsidSect="00A169AD">
      <w:footerReference w:type="default" r:id="rId35"/>
      <w:pgSz w:w="11907" w:h="16840" w:code="9"/>
      <w:pgMar w:top="1276" w:right="1134" w:bottom="1418"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9C" w:rsidRDefault="00DF569C" w:rsidP="00783D79">
      <w:r>
        <w:separator/>
      </w:r>
    </w:p>
  </w:endnote>
  <w:endnote w:type="continuationSeparator" w:id="0">
    <w:p w:rsidR="00DF569C" w:rsidRDefault="00DF569C" w:rsidP="0078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98826"/>
      <w:docPartObj>
        <w:docPartGallery w:val="Page Numbers (Bottom of Page)"/>
        <w:docPartUnique/>
      </w:docPartObj>
    </w:sdtPr>
    <w:sdtEndPr>
      <w:rPr>
        <w:noProof/>
      </w:rPr>
    </w:sdtEndPr>
    <w:sdtContent>
      <w:p w:rsidR="00B034B0" w:rsidRDefault="00B034B0">
        <w:pPr>
          <w:pStyle w:val="Footer"/>
          <w:jc w:val="center"/>
        </w:pPr>
        <w:r w:rsidRPr="00F94A41">
          <w:rPr>
            <w:sz w:val="24"/>
          </w:rPr>
          <w:fldChar w:fldCharType="begin"/>
        </w:r>
        <w:r w:rsidRPr="00F94A41">
          <w:rPr>
            <w:sz w:val="24"/>
          </w:rPr>
          <w:instrText xml:space="preserve"> PAGE   \* MERGEFORMAT </w:instrText>
        </w:r>
        <w:r w:rsidRPr="00F94A41">
          <w:rPr>
            <w:sz w:val="24"/>
          </w:rPr>
          <w:fldChar w:fldCharType="separate"/>
        </w:r>
        <w:r w:rsidR="00641092">
          <w:rPr>
            <w:noProof/>
            <w:sz w:val="24"/>
          </w:rPr>
          <w:t>1</w:t>
        </w:r>
        <w:r w:rsidRPr="00F94A41">
          <w:rPr>
            <w:noProof/>
            <w:sz w:val="24"/>
          </w:rPr>
          <w:fldChar w:fldCharType="end"/>
        </w:r>
      </w:p>
    </w:sdtContent>
  </w:sdt>
  <w:p w:rsidR="00B034B0" w:rsidRDefault="00B03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9C" w:rsidRDefault="00DF569C" w:rsidP="00783D79">
      <w:r>
        <w:separator/>
      </w:r>
    </w:p>
  </w:footnote>
  <w:footnote w:type="continuationSeparator" w:id="0">
    <w:p w:rsidR="00DF569C" w:rsidRDefault="00DF569C" w:rsidP="00783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904DF"/>
    <w:multiLevelType w:val="hybridMultilevel"/>
    <w:tmpl w:val="EDBE305A"/>
    <w:lvl w:ilvl="0" w:tplc="867E005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79"/>
    <w:rsid w:val="0000179B"/>
    <w:rsid w:val="00053B1F"/>
    <w:rsid w:val="000965C5"/>
    <w:rsid w:val="00110A90"/>
    <w:rsid w:val="001207AC"/>
    <w:rsid w:val="00131CDA"/>
    <w:rsid w:val="00147F97"/>
    <w:rsid w:val="001A54DE"/>
    <w:rsid w:val="001B38BF"/>
    <w:rsid w:val="001B3D63"/>
    <w:rsid w:val="00220390"/>
    <w:rsid w:val="002362BA"/>
    <w:rsid w:val="0024575D"/>
    <w:rsid w:val="00246AB1"/>
    <w:rsid w:val="00250135"/>
    <w:rsid w:val="00282517"/>
    <w:rsid w:val="002870BF"/>
    <w:rsid w:val="002E2527"/>
    <w:rsid w:val="003101C1"/>
    <w:rsid w:val="00365205"/>
    <w:rsid w:val="003871EF"/>
    <w:rsid w:val="00390D88"/>
    <w:rsid w:val="00395DA3"/>
    <w:rsid w:val="003B1EB8"/>
    <w:rsid w:val="003C28DB"/>
    <w:rsid w:val="003C6DCA"/>
    <w:rsid w:val="003D1241"/>
    <w:rsid w:val="0040717A"/>
    <w:rsid w:val="00423C8F"/>
    <w:rsid w:val="00464473"/>
    <w:rsid w:val="004C24D9"/>
    <w:rsid w:val="0050286A"/>
    <w:rsid w:val="0051649E"/>
    <w:rsid w:val="0052394E"/>
    <w:rsid w:val="00523AE9"/>
    <w:rsid w:val="00524D9D"/>
    <w:rsid w:val="00526D17"/>
    <w:rsid w:val="00540591"/>
    <w:rsid w:val="00541BC1"/>
    <w:rsid w:val="005721CE"/>
    <w:rsid w:val="00576EF9"/>
    <w:rsid w:val="005770D1"/>
    <w:rsid w:val="0059454D"/>
    <w:rsid w:val="005F4245"/>
    <w:rsid w:val="00641092"/>
    <w:rsid w:val="00651273"/>
    <w:rsid w:val="006546F1"/>
    <w:rsid w:val="006721AD"/>
    <w:rsid w:val="006810B0"/>
    <w:rsid w:val="006A1650"/>
    <w:rsid w:val="006A5BC3"/>
    <w:rsid w:val="006B28F8"/>
    <w:rsid w:val="00715A2A"/>
    <w:rsid w:val="00781E5E"/>
    <w:rsid w:val="00783D79"/>
    <w:rsid w:val="007D4135"/>
    <w:rsid w:val="007D7145"/>
    <w:rsid w:val="008146BF"/>
    <w:rsid w:val="008169B7"/>
    <w:rsid w:val="00823654"/>
    <w:rsid w:val="00884A8F"/>
    <w:rsid w:val="0089405B"/>
    <w:rsid w:val="008946F2"/>
    <w:rsid w:val="008C1084"/>
    <w:rsid w:val="00962109"/>
    <w:rsid w:val="00976D00"/>
    <w:rsid w:val="009811C8"/>
    <w:rsid w:val="00A169AD"/>
    <w:rsid w:val="00A25AC0"/>
    <w:rsid w:val="00A365C3"/>
    <w:rsid w:val="00A944A1"/>
    <w:rsid w:val="00A9547F"/>
    <w:rsid w:val="00AD3AA0"/>
    <w:rsid w:val="00AD4035"/>
    <w:rsid w:val="00AE3953"/>
    <w:rsid w:val="00B034B0"/>
    <w:rsid w:val="00B2053D"/>
    <w:rsid w:val="00B30EA2"/>
    <w:rsid w:val="00B31756"/>
    <w:rsid w:val="00B57A8F"/>
    <w:rsid w:val="00B76441"/>
    <w:rsid w:val="00B8313C"/>
    <w:rsid w:val="00BD1B10"/>
    <w:rsid w:val="00BD6DC1"/>
    <w:rsid w:val="00C1299C"/>
    <w:rsid w:val="00C3280C"/>
    <w:rsid w:val="00C4249F"/>
    <w:rsid w:val="00C7364A"/>
    <w:rsid w:val="00CA131E"/>
    <w:rsid w:val="00CD1E26"/>
    <w:rsid w:val="00D221C5"/>
    <w:rsid w:val="00D26DC3"/>
    <w:rsid w:val="00D6559C"/>
    <w:rsid w:val="00D87EFC"/>
    <w:rsid w:val="00D91866"/>
    <w:rsid w:val="00D95467"/>
    <w:rsid w:val="00DE34F7"/>
    <w:rsid w:val="00DF569C"/>
    <w:rsid w:val="00E053C7"/>
    <w:rsid w:val="00E45A37"/>
    <w:rsid w:val="00E7382F"/>
    <w:rsid w:val="00E7755E"/>
    <w:rsid w:val="00EB701E"/>
    <w:rsid w:val="00ED2965"/>
    <w:rsid w:val="00ED2FAE"/>
    <w:rsid w:val="00ED6245"/>
    <w:rsid w:val="00F158FD"/>
    <w:rsid w:val="00F27F93"/>
    <w:rsid w:val="00F5024E"/>
    <w:rsid w:val="00FA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9"/>
    <w:pPr>
      <w:spacing w:after="0" w:line="240" w:lineRule="auto"/>
    </w:pPr>
    <w:rPr>
      <w:rFonts w:eastAsia="MS Mincho" w:cs="Times New Roman"/>
      <w:szCs w:val="24"/>
      <w:lang w:eastAsia="ja-JP"/>
    </w:rPr>
  </w:style>
  <w:style w:type="paragraph" w:styleId="Heading1">
    <w:name w:val="heading 1"/>
    <w:basedOn w:val="Normal"/>
    <w:next w:val="Normal"/>
    <w:link w:val="Heading1Char"/>
    <w:uiPriority w:val="9"/>
    <w:qFormat/>
    <w:rsid w:val="00ED624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83D79"/>
    <w:pPr>
      <w:keepNext/>
      <w:spacing w:before="240" w:after="60"/>
      <w:outlineLvl w:val="1"/>
    </w:pPr>
    <w:rPr>
      <w:rFonts w:ascii="Arial" w:eastAsia="Times New Roman" w:hAnsi="Arial" w:cs="Arial"/>
      <w:b/>
      <w:bCs/>
      <w:i/>
      <w:iCs/>
      <w:szCs w:val="28"/>
      <w:lang w:eastAsia="en-US"/>
    </w:rPr>
  </w:style>
  <w:style w:type="paragraph" w:styleId="Heading3">
    <w:name w:val="heading 3"/>
    <w:basedOn w:val="Normal"/>
    <w:next w:val="Normal"/>
    <w:link w:val="Heading3Char"/>
    <w:qFormat/>
    <w:rsid w:val="00783D79"/>
    <w:pPr>
      <w:keepNext/>
      <w:jc w:val="center"/>
      <w:outlineLvl w:val="2"/>
    </w:pPr>
    <w:rPr>
      <w:rFonts w:eastAsia="Times New Roman"/>
      <w:b/>
      <w:bCs/>
      <w:sz w:val="24"/>
      <w:lang w:eastAsia="en-US"/>
    </w:rPr>
  </w:style>
  <w:style w:type="paragraph" w:styleId="Heading5">
    <w:name w:val="heading 5"/>
    <w:basedOn w:val="Normal"/>
    <w:next w:val="Normal"/>
    <w:link w:val="Heading5Char"/>
    <w:qFormat/>
    <w:rsid w:val="00783D79"/>
    <w:pPr>
      <w:spacing w:before="240" w:after="60"/>
      <w:outlineLvl w:val="4"/>
    </w:pPr>
    <w:rPr>
      <w:rFonts w:eastAsia="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D79"/>
    <w:rPr>
      <w:rFonts w:ascii="Arial" w:eastAsia="Times New Roman" w:hAnsi="Arial" w:cs="Arial"/>
      <w:b/>
      <w:bCs/>
      <w:i/>
      <w:iCs/>
      <w:szCs w:val="28"/>
    </w:rPr>
  </w:style>
  <w:style w:type="character" w:customStyle="1" w:styleId="Heading3Char">
    <w:name w:val="Heading 3 Char"/>
    <w:basedOn w:val="DefaultParagraphFont"/>
    <w:link w:val="Heading3"/>
    <w:rsid w:val="00783D79"/>
    <w:rPr>
      <w:rFonts w:eastAsia="Times New Roman" w:cs="Times New Roman"/>
      <w:b/>
      <w:bCs/>
      <w:sz w:val="24"/>
      <w:szCs w:val="24"/>
    </w:rPr>
  </w:style>
  <w:style w:type="character" w:customStyle="1" w:styleId="Heading5Char">
    <w:name w:val="Heading 5 Char"/>
    <w:basedOn w:val="DefaultParagraphFont"/>
    <w:link w:val="Heading5"/>
    <w:rsid w:val="00783D79"/>
    <w:rPr>
      <w:rFonts w:eastAsia="Times New Roman" w:cs="Times New Roman"/>
      <w:b/>
      <w:bCs/>
      <w:i/>
      <w:iCs/>
      <w:sz w:val="26"/>
      <w:szCs w:val="26"/>
    </w:rPr>
  </w:style>
  <w:style w:type="paragraph" w:styleId="Footer">
    <w:name w:val="footer"/>
    <w:basedOn w:val="Normal"/>
    <w:link w:val="FooterChar"/>
    <w:uiPriority w:val="99"/>
    <w:unhideWhenUsed/>
    <w:rsid w:val="00783D79"/>
    <w:pPr>
      <w:tabs>
        <w:tab w:val="center" w:pos="4680"/>
        <w:tab w:val="right" w:pos="9360"/>
      </w:tabs>
    </w:pPr>
  </w:style>
  <w:style w:type="character" w:customStyle="1" w:styleId="FooterChar">
    <w:name w:val="Footer Char"/>
    <w:basedOn w:val="DefaultParagraphFont"/>
    <w:link w:val="Footer"/>
    <w:uiPriority w:val="99"/>
    <w:rsid w:val="00783D79"/>
    <w:rPr>
      <w:rFonts w:eastAsia="MS Mincho" w:cs="Times New Roman"/>
      <w:szCs w:val="24"/>
      <w:lang w:eastAsia="ja-JP"/>
    </w:rPr>
  </w:style>
  <w:style w:type="paragraph" w:styleId="FootnoteText">
    <w:name w:val="footnote text"/>
    <w:basedOn w:val="Normal"/>
    <w:link w:val="FootnoteTextChar"/>
    <w:uiPriority w:val="99"/>
    <w:semiHidden/>
    <w:unhideWhenUsed/>
    <w:rsid w:val="00783D79"/>
    <w:rPr>
      <w:sz w:val="20"/>
      <w:szCs w:val="20"/>
    </w:rPr>
  </w:style>
  <w:style w:type="character" w:customStyle="1" w:styleId="FootnoteTextChar">
    <w:name w:val="Footnote Text Char"/>
    <w:basedOn w:val="DefaultParagraphFont"/>
    <w:link w:val="FootnoteText"/>
    <w:uiPriority w:val="99"/>
    <w:semiHidden/>
    <w:rsid w:val="00783D79"/>
    <w:rPr>
      <w:rFonts w:eastAsia="MS Mincho" w:cs="Times New Roman"/>
      <w:sz w:val="20"/>
      <w:szCs w:val="20"/>
      <w:lang w:eastAsia="ja-JP"/>
    </w:rPr>
  </w:style>
  <w:style w:type="character" w:styleId="FootnoteReference">
    <w:name w:val="footnote reference"/>
    <w:basedOn w:val="DefaultParagraphFont"/>
    <w:uiPriority w:val="99"/>
    <w:semiHidden/>
    <w:unhideWhenUsed/>
    <w:rsid w:val="00783D79"/>
    <w:rPr>
      <w:vertAlign w:val="superscript"/>
    </w:rPr>
  </w:style>
  <w:style w:type="paragraph" w:styleId="ListParagraph">
    <w:name w:val="List Paragraph"/>
    <w:basedOn w:val="Normal"/>
    <w:uiPriority w:val="34"/>
    <w:qFormat/>
    <w:rsid w:val="00E45A37"/>
    <w:pPr>
      <w:ind w:left="720"/>
      <w:contextualSpacing/>
    </w:pPr>
  </w:style>
  <w:style w:type="character" w:customStyle="1" w:styleId="Heading1Char">
    <w:name w:val="Heading 1 Char"/>
    <w:basedOn w:val="DefaultParagraphFont"/>
    <w:link w:val="Heading1"/>
    <w:uiPriority w:val="9"/>
    <w:rsid w:val="00ED6245"/>
    <w:rPr>
      <w:rFonts w:asciiTheme="majorHAnsi" w:eastAsiaTheme="majorEastAsia" w:hAnsiTheme="majorHAnsi" w:cstheme="majorBidi"/>
      <w:b/>
      <w:bCs/>
      <w:color w:val="365F91" w:themeColor="accent1" w:themeShade="BF"/>
      <w:szCs w:val="28"/>
      <w:lang w:eastAsia="ja-JP"/>
    </w:rPr>
  </w:style>
  <w:style w:type="character" w:styleId="PageNumber">
    <w:name w:val="page number"/>
    <w:basedOn w:val="DefaultParagraphFont"/>
    <w:rsid w:val="00E053C7"/>
  </w:style>
  <w:style w:type="paragraph" w:styleId="NormalWeb">
    <w:name w:val="Normal (Web)"/>
    <w:basedOn w:val="Normal"/>
    <w:uiPriority w:val="99"/>
    <w:unhideWhenUsed/>
    <w:rsid w:val="00E053C7"/>
    <w:pPr>
      <w:spacing w:before="100" w:beforeAutospacing="1" w:after="100" w:afterAutospacing="1"/>
    </w:pPr>
    <w:rPr>
      <w:rFonts w:eastAsia="Times New Roman"/>
      <w:sz w:val="24"/>
      <w:lang w:eastAsia="en-US"/>
    </w:rPr>
  </w:style>
  <w:style w:type="paragraph" w:styleId="Header">
    <w:name w:val="header"/>
    <w:basedOn w:val="Normal"/>
    <w:link w:val="HeaderChar"/>
    <w:uiPriority w:val="99"/>
    <w:unhideWhenUsed/>
    <w:rsid w:val="00E053C7"/>
    <w:pPr>
      <w:tabs>
        <w:tab w:val="center" w:pos="4680"/>
        <w:tab w:val="right" w:pos="9360"/>
      </w:tabs>
    </w:pPr>
  </w:style>
  <w:style w:type="character" w:customStyle="1" w:styleId="HeaderChar">
    <w:name w:val="Header Char"/>
    <w:basedOn w:val="DefaultParagraphFont"/>
    <w:link w:val="Header"/>
    <w:uiPriority w:val="99"/>
    <w:rsid w:val="00E053C7"/>
    <w:rPr>
      <w:rFonts w:eastAsia="MS Mincho" w:cs="Times New Roman"/>
      <w:szCs w:val="24"/>
      <w:lang w:eastAsia="ja-JP"/>
    </w:rPr>
  </w:style>
  <w:style w:type="paragraph" w:styleId="TOC1">
    <w:name w:val="toc 1"/>
    <w:basedOn w:val="Normal"/>
    <w:next w:val="Normal"/>
    <w:autoRedefine/>
    <w:uiPriority w:val="39"/>
    <w:unhideWhenUsed/>
    <w:rsid w:val="001B3D63"/>
    <w:pPr>
      <w:spacing w:after="100"/>
    </w:pPr>
  </w:style>
  <w:style w:type="character" w:styleId="Hyperlink">
    <w:name w:val="Hyperlink"/>
    <w:basedOn w:val="DefaultParagraphFont"/>
    <w:uiPriority w:val="99"/>
    <w:unhideWhenUsed/>
    <w:rsid w:val="001B3D63"/>
    <w:rPr>
      <w:color w:val="0000FF" w:themeColor="hyperlink"/>
      <w:u w:val="single"/>
    </w:rPr>
  </w:style>
  <w:style w:type="table" w:styleId="TableGrid">
    <w:name w:val="Table Grid"/>
    <w:basedOn w:val="TableNormal"/>
    <w:uiPriority w:val="59"/>
    <w:rsid w:val="00220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CDA"/>
    <w:rPr>
      <w:rFonts w:ascii="Tahoma" w:hAnsi="Tahoma" w:cs="Tahoma"/>
      <w:sz w:val="16"/>
      <w:szCs w:val="16"/>
    </w:rPr>
  </w:style>
  <w:style w:type="character" w:customStyle="1" w:styleId="BalloonTextChar">
    <w:name w:val="Balloon Text Char"/>
    <w:basedOn w:val="DefaultParagraphFont"/>
    <w:link w:val="BalloonText"/>
    <w:uiPriority w:val="99"/>
    <w:semiHidden/>
    <w:rsid w:val="00131CD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9"/>
    <w:pPr>
      <w:spacing w:after="0" w:line="240" w:lineRule="auto"/>
    </w:pPr>
    <w:rPr>
      <w:rFonts w:eastAsia="MS Mincho" w:cs="Times New Roman"/>
      <w:szCs w:val="24"/>
      <w:lang w:eastAsia="ja-JP"/>
    </w:rPr>
  </w:style>
  <w:style w:type="paragraph" w:styleId="Heading1">
    <w:name w:val="heading 1"/>
    <w:basedOn w:val="Normal"/>
    <w:next w:val="Normal"/>
    <w:link w:val="Heading1Char"/>
    <w:uiPriority w:val="9"/>
    <w:qFormat/>
    <w:rsid w:val="00ED624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83D79"/>
    <w:pPr>
      <w:keepNext/>
      <w:spacing w:before="240" w:after="60"/>
      <w:outlineLvl w:val="1"/>
    </w:pPr>
    <w:rPr>
      <w:rFonts w:ascii="Arial" w:eastAsia="Times New Roman" w:hAnsi="Arial" w:cs="Arial"/>
      <w:b/>
      <w:bCs/>
      <w:i/>
      <w:iCs/>
      <w:szCs w:val="28"/>
      <w:lang w:eastAsia="en-US"/>
    </w:rPr>
  </w:style>
  <w:style w:type="paragraph" w:styleId="Heading3">
    <w:name w:val="heading 3"/>
    <w:basedOn w:val="Normal"/>
    <w:next w:val="Normal"/>
    <w:link w:val="Heading3Char"/>
    <w:qFormat/>
    <w:rsid w:val="00783D79"/>
    <w:pPr>
      <w:keepNext/>
      <w:jc w:val="center"/>
      <w:outlineLvl w:val="2"/>
    </w:pPr>
    <w:rPr>
      <w:rFonts w:eastAsia="Times New Roman"/>
      <w:b/>
      <w:bCs/>
      <w:sz w:val="24"/>
      <w:lang w:eastAsia="en-US"/>
    </w:rPr>
  </w:style>
  <w:style w:type="paragraph" w:styleId="Heading5">
    <w:name w:val="heading 5"/>
    <w:basedOn w:val="Normal"/>
    <w:next w:val="Normal"/>
    <w:link w:val="Heading5Char"/>
    <w:qFormat/>
    <w:rsid w:val="00783D79"/>
    <w:pPr>
      <w:spacing w:before="240" w:after="60"/>
      <w:outlineLvl w:val="4"/>
    </w:pPr>
    <w:rPr>
      <w:rFonts w:eastAsia="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3D79"/>
    <w:rPr>
      <w:rFonts w:ascii="Arial" w:eastAsia="Times New Roman" w:hAnsi="Arial" w:cs="Arial"/>
      <w:b/>
      <w:bCs/>
      <w:i/>
      <w:iCs/>
      <w:szCs w:val="28"/>
    </w:rPr>
  </w:style>
  <w:style w:type="character" w:customStyle="1" w:styleId="Heading3Char">
    <w:name w:val="Heading 3 Char"/>
    <w:basedOn w:val="DefaultParagraphFont"/>
    <w:link w:val="Heading3"/>
    <w:rsid w:val="00783D79"/>
    <w:rPr>
      <w:rFonts w:eastAsia="Times New Roman" w:cs="Times New Roman"/>
      <w:b/>
      <w:bCs/>
      <w:sz w:val="24"/>
      <w:szCs w:val="24"/>
    </w:rPr>
  </w:style>
  <w:style w:type="character" w:customStyle="1" w:styleId="Heading5Char">
    <w:name w:val="Heading 5 Char"/>
    <w:basedOn w:val="DefaultParagraphFont"/>
    <w:link w:val="Heading5"/>
    <w:rsid w:val="00783D79"/>
    <w:rPr>
      <w:rFonts w:eastAsia="Times New Roman" w:cs="Times New Roman"/>
      <w:b/>
      <w:bCs/>
      <w:i/>
      <w:iCs/>
      <w:sz w:val="26"/>
      <w:szCs w:val="26"/>
    </w:rPr>
  </w:style>
  <w:style w:type="paragraph" w:styleId="Footer">
    <w:name w:val="footer"/>
    <w:basedOn w:val="Normal"/>
    <w:link w:val="FooterChar"/>
    <w:uiPriority w:val="99"/>
    <w:unhideWhenUsed/>
    <w:rsid w:val="00783D79"/>
    <w:pPr>
      <w:tabs>
        <w:tab w:val="center" w:pos="4680"/>
        <w:tab w:val="right" w:pos="9360"/>
      </w:tabs>
    </w:pPr>
  </w:style>
  <w:style w:type="character" w:customStyle="1" w:styleId="FooterChar">
    <w:name w:val="Footer Char"/>
    <w:basedOn w:val="DefaultParagraphFont"/>
    <w:link w:val="Footer"/>
    <w:uiPriority w:val="99"/>
    <w:rsid w:val="00783D79"/>
    <w:rPr>
      <w:rFonts w:eastAsia="MS Mincho" w:cs="Times New Roman"/>
      <w:szCs w:val="24"/>
      <w:lang w:eastAsia="ja-JP"/>
    </w:rPr>
  </w:style>
  <w:style w:type="paragraph" w:styleId="FootnoteText">
    <w:name w:val="footnote text"/>
    <w:basedOn w:val="Normal"/>
    <w:link w:val="FootnoteTextChar"/>
    <w:uiPriority w:val="99"/>
    <w:semiHidden/>
    <w:unhideWhenUsed/>
    <w:rsid w:val="00783D79"/>
    <w:rPr>
      <w:sz w:val="20"/>
      <w:szCs w:val="20"/>
    </w:rPr>
  </w:style>
  <w:style w:type="character" w:customStyle="1" w:styleId="FootnoteTextChar">
    <w:name w:val="Footnote Text Char"/>
    <w:basedOn w:val="DefaultParagraphFont"/>
    <w:link w:val="FootnoteText"/>
    <w:uiPriority w:val="99"/>
    <w:semiHidden/>
    <w:rsid w:val="00783D79"/>
    <w:rPr>
      <w:rFonts w:eastAsia="MS Mincho" w:cs="Times New Roman"/>
      <w:sz w:val="20"/>
      <w:szCs w:val="20"/>
      <w:lang w:eastAsia="ja-JP"/>
    </w:rPr>
  </w:style>
  <w:style w:type="character" w:styleId="FootnoteReference">
    <w:name w:val="footnote reference"/>
    <w:basedOn w:val="DefaultParagraphFont"/>
    <w:uiPriority w:val="99"/>
    <w:semiHidden/>
    <w:unhideWhenUsed/>
    <w:rsid w:val="00783D79"/>
    <w:rPr>
      <w:vertAlign w:val="superscript"/>
    </w:rPr>
  </w:style>
  <w:style w:type="paragraph" w:styleId="ListParagraph">
    <w:name w:val="List Paragraph"/>
    <w:basedOn w:val="Normal"/>
    <w:uiPriority w:val="34"/>
    <w:qFormat/>
    <w:rsid w:val="00E45A37"/>
    <w:pPr>
      <w:ind w:left="720"/>
      <w:contextualSpacing/>
    </w:pPr>
  </w:style>
  <w:style w:type="character" w:customStyle="1" w:styleId="Heading1Char">
    <w:name w:val="Heading 1 Char"/>
    <w:basedOn w:val="DefaultParagraphFont"/>
    <w:link w:val="Heading1"/>
    <w:uiPriority w:val="9"/>
    <w:rsid w:val="00ED6245"/>
    <w:rPr>
      <w:rFonts w:asciiTheme="majorHAnsi" w:eastAsiaTheme="majorEastAsia" w:hAnsiTheme="majorHAnsi" w:cstheme="majorBidi"/>
      <w:b/>
      <w:bCs/>
      <w:color w:val="365F91" w:themeColor="accent1" w:themeShade="BF"/>
      <w:szCs w:val="28"/>
      <w:lang w:eastAsia="ja-JP"/>
    </w:rPr>
  </w:style>
  <w:style w:type="character" w:styleId="PageNumber">
    <w:name w:val="page number"/>
    <w:basedOn w:val="DefaultParagraphFont"/>
    <w:rsid w:val="00E053C7"/>
  </w:style>
  <w:style w:type="paragraph" w:styleId="NormalWeb">
    <w:name w:val="Normal (Web)"/>
    <w:basedOn w:val="Normal"/>
    <w:uiPriority w:val="99"/>
    <w:unhideWhenUsed/>
    <w:rsid w:val="00E053C7"/>
    <w:pPr>
      <w:spacing w:before="100" w:beforeAutospacing="1" w:after="100" w:afterAutospacing="1"/>
    </w:pPr>
    <w:rPr>
      <w:rFonts w:eastAsia="Times New Roman"/>
      <w:sz w:val="24"/>
      <w:lang w:eastAsia="en-US"/>
    </w:rPr>
  </w:style>
  <w:style w:type="paragraph" w:styleId="Header">
    <w:name w:val="header"/>
    <w:basedOn w:val="Normal"/>
    <w:link w:val="HeaderChar"/>
    <w:uiPriority w:val="99"/>
    <w:unhideWhenUsed/>
    <w:rsid w:val="00E053C7"/>
    <w:pPr>
      <w:tabs>
        <w:tab w:val="center" w:pos="4680"/>
        <w:tab w:val="right" w:pos="9360"/>
      </w:tabs>
    </w:pPr>
  </w:style>
  <w:style w:type="character" w:customStyle="1" w:styleId="HeaderChar">
    <w:name w:val="Header Char"/>
    <w:basedOn w:val="DefaultParagraphFont"/>
    <w:link w:val="Header"/>
    <w:uiPriority w:val="99"/>
    <w:rsid w:val="00E053C7"/>
    <w:rPr>
      <w:rFonts w:eastAsia="MS Mincho" w:cs="Times New Roman"/>
      <w:szCs w:val="24"/>
      <w:lang w:eastAsia="ja-JP"/>
    </w:rPr>
  </w:style>
  <w:style w:type="paragraph" w:styleId="TOC1">
    <w:name w:val="toc 1"/>
    <w:basedOn w:val="Normal"/>
    <w:next w:val="Normal"/>
    <w:autoRedefine/>
    <w:uiPriority w:val="39"/>
    <w:unhideWhenUsed/>
    <w:rsid w:val="001B3D63"/>
    <w:pPr>
      <w:spacing w:after="100"/>
    </w:pPr>
  </w:style>
  <w:style w:type="character" w:styleId="Hyperlink">
    <w:name w:val="Hyperlink"/>
    <w:basedOn w:val="DefaultParagraphFont"/>
    <w:uiPriority w:val="99"/>
    <w:unhideWhenUsed/>
    <w:rsid w:val="001B3D63"/>
    <w:rPr>
      <w:color w:val="0000FF" w:themeColor="hyperlink"/>
      <w:u w:val="single"/>
    </w:rPr>
  </w:style>
  <w:style w:type="table" w:styleId="TableGrid">
    <w:name w:val="Table Grid"/>
    <w:basedOn w:val="TableNormal"/>
    <w:uiPriority w:val="59"/>
    <w:rsid w:val="00220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CDA"/>
    <w:rPr>
      <w:rFonts w:ascii="Tahoma" w:hAnsi="Tahoma" w:cs="Tahoma"/>
      <w:sz w:val="16"/>
      <w:szCs w:val="16"/>
    </w:rPr>
  </w:style>
  <w:style w:type="character" w:customStyle="1" w:styleId="BalloonTextChar">
    <w:name w:val="Balloon Text Char"/>
    <w:basedOn w:val="DefaultParagraphFont"/>
    <w:link w:val="BalloonText"/>
    <w:uiPriority w:val="99"/>
    <w:semiHidden/>
    <w:rsid w:val="00131CD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gov.vn/vn/Pages/ChiTietVanBan.aspx?vID=24242&amp;TypeVB=1" TargetMode="External"/><Relationship Id="rId18" Type="http://schemas.openxmlformats.org/officeDocument/2006/relationships/hyperlink" Target="http://www.mt.gov.vn/vn/Pages/ChiTietVanBan.aspx?vID=26962&amp;TypeVB=1" TargetMode="External"/><Relationship Id="rId26" Type="http://schemas.openxmlformats.org/officeDocument/2006/relationships/hyperlink" Target="http://www.mt.gov.vn/vn/Pages/ChiTietVanBan.aspx?vID=27055&amp;TypeVB=1" TargetMode="External"/><Relationship Id="rId3" Type="http://schemas.openxmlformats.org/officeDocument/2006/relationships/styles" Target="styles.xml"/><Relationship Id="rId21" Type="http://schemas.openxmlformats.org/officeDocument/2006/relationships/hyperlink" Target="http://www.mt.gov.vn/vn/Pages/ChiTietVanBan.aspx?vID=26980&amp;TypeVB=1" TargetMode="External"/><Relationship Id="rId34" Type="http://schemas.openxmlformats.org/officeDocument/2006/relationships/hyperlink" Target="https://thuvienphapluat.vn/phap-luat/tim-van-ban.aspx?keyword=01/2010/TT-BGTVT&amp;area=2&amp;type=0&amp;match=False&amp;vc=True&amp;lan=1" TargetMode="External"/><Relationship Id="rId7" Type="http://schemas.openxmlformats.org/officeDocument/2006/relationships/footnotes" Target="footnotes.xml"/><Relationship Id="rId12" Type="http://schemas.openxmlformats.org/officeDocument/2006/relationships/hyperlink" Target="https://thuvienphapluat.vn/van-ban/giao-thong-van-tai/thong-tu-58-2012-tt-bgtvt-dinh-muc-vat-tu-cho-mot-chu-ky-bao-tri-ket-cau-ha-tang-164405.aspx" TargetMode="External"/><Relationship Id="rId17" Type="http://schemas.openxmlformats.org/officeDocument/2006/relationships/hyperlink" Target="http://www.mt.gov.vn/vn/Pages/ChiTietVanBan.aspx?vID=26962&amp;TypeVB=1" TargetMode="External"/><Relationship Id="rId25" Type="http://schemas.openxmlformats.org/officeDocument/2006/relationships/hyperlink" Target="http://www.mt.gov.vn/vn/Pages/ChiTietVanBan.aspx?vID=27051&amp;TypeVB=1" TargetMode="External"/><Relationship Id="rId33" Type="http://schemas.openxmlformats.org/officeDocument/2006/relationships/hyperlink" Target="http://thuvienphapluat.vn/phap-luat/tim-van-ban.aspx?keyword=38/2010/tt-bgtvt&amp;area=2&amp;type=0&amp;match=false&amp;vc=true&amp;lan=1" TargetMode="External"/><Relationship Id="rId2" Type="http://schemas.openxmlformats.org/officeDocument/2006/relationships/numbering" Target="numbering.xml"/><Relationship Id="rId16" Type="http://schemas.openxmlformats.org/officeDocument/2006/relationships/hyperlink" Target="http://www.mt.gov.vn/vn/Pages/ChiTietVanBan.aspx?vID=24249&amp;TypeVB=1" TargetMode="External"/><Relationship Id="rId20" Type="http://schemas.openxmlformats.org/officeDocument/2006/relationships/hyperlink" Target="http://www.mt.gov.vn/vn/Pages/ChiTietVanBan.aspx?vID=26964&amp;TypeVB=1" TargetMode="External"/><Relationship Id="rId29" Type="http://schemas.openxmlformats.org/officeDocument/2006/relationships/hyperlink" Target="http://www.mt.gov.vn/vn/Pages/ChiTietVanBan.aspx?vID=27058&amp;TypeVB=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01/2010/TT-BGTVT&amp;area=2&amp;type=0&amp;match=False&amp;vc=True&amp;lan=1" TargetMode="External"/><Relationship Id="rId24" Type="http://schemas.openxmlformats.org/officeDocument/2006/relationships/hyperlink" Target="http://www.mt.gov.vn/vn/Pages/ChiTietVanBan.aspx?vID=27051&amp;TypeVB=1" TargetMode="External"/><Relationship Id="rId32" Type="http://schemas.openxmlformats.org/officeDocument/2006/relationships/hyperlink" Target="http://thuvienphapluat.vn/phap-luat/tim-van-ban.aspx?keyword=76/2015/tt-bgtvt&amp;area=2&amp;type=0&amp;match=false&amp;vc=true&amp;lan=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t.gov.vn/vn/Pages/ChiTietVanBan.aspx?vID=24249&amp;TypeVB=1" TargetMode="External"/><Relationship Id="rId23" Type="http://schemas.openxmlformats.org/officeDocument/2006/relationships/hyperlink" Target="http://www.mt.gov.vn/vn/Pages/ChiTietVanBan.aspx?vID=27006&amp;TypeVB=1" TargetMode="External"/><Relationship Id="rId28" Type="http://schemas.openxmlformats.org/officeDocument/2006/relationships/hyperlink" Target="http://www.mt.gov.vn/vn/Pages/ChiTietVanBan.aspx?vID=27057&amp;TypeVB=1" TargetMode="External"/><Relationship Id="rId36" Type="http://schemas.openxmlformats.org/officeDocument/2006/relationships/fontTable" Target="fontTable.xml"/><Relationship Id="rId10" Type="http://schemas.openxmlformats.org/officeDocument/2006/relationships/hyperlink" Target="http://www.mt.gov.vn/vn/Pages/ChiTietVanBan.aspx?vID=26995&amp;TypeVB=1" TargetMode="External"/><Relationship Id="rId19" Type="http://schemas.openxmlformats.org/officeDocument/2006/relationships/hyperlink" Target="http://www.mt.gov.vn/vn/Pages/ChiTietVanBan.aspx?vID=26964&amp;TypeVB=1" TargetMode="External"/><Relationship Id="rId31" Type="http://schemas.openxmlformats.org/officeDocument/2006/relationships/hyperlink" Target="http://thuvienphapluat.vn/phap-luat/tim-van-ban.aspx?keyword=01/2013/tt-bgtvt&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www.mt.gov.vn/vn/Pages/ChiTietVanBan.aspx?vID=26995&amp;TypeVB=1" TargetMode="External"/><Relationship Id="rId14" Type="http://schemas.openxmlformats.org/officeDocument/2006/relationships/hyperlink" Target="http://www.mt.gov.vn/vn/Pages/ChiTietVanBan.aspx?vID=24242&amp;TypeVB=1" TargetMode="External"/><Relationship Id="rId22" Type="http://schemas.openxmlformats.org/officeDocument/2006/relationships/hyperlink" Target="http://www.mt.gov.vn/vn/Pages/ChiTietVanBan.aspx?vID=27006&amp;TypeVB=1" TargetMode="External"/><Relationship Id="rId27" Type="http://schemas.openxmlformats.org/officeDocument/2006/relationships/hyperlink" Target="http://www.mt.gov.vn/vn/Pages/ChiTietVanBan.aspx?vID=27057&amp;TypeVB=1" TargetMode="External"/><Relationship Id="rId30" Type="http://schemas.openxmlformats.org/officeDocument/2006/relationships/hyperlink" Target="http://www.mt.gov.vn/vn/Pages/ChiTietVanBan.aspx?vID=27058&amp;TypeVB=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EF66-3E3A-4C05-8545-C027F53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cuong</cp:lastModifiedBy>
  <cp:revision>4</cp:revision>
  <cp:lastPrinted>2019-12-07T07:12:00Z</cp:lastPrinted>
  <dcterms:created xsi:type="dcterms:W3CDTF">2019-12-20T08:53:00Z</dcterms:created>
  <dcterms:modified xsi:type="dcterms:W3CDTF">2019-12-20T11:01:00Z</dcterms:modified>
</cp:coreProperties>
</file>