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854"/>
      </w:tblGrid>
      <w:tr w:rsidR="005114EE" w:rsidRPr="005114EE" w:rsidTr="00BA03B1">
        <w:trPr>
          <w:trHeight w:val="1805"/>
        </w:trPr>
        <w:tc>
          <w:tcPr>
            <w:tcW w:w="3570" w:type="dxa"/>
            <w:tcBorders>
              <w:top w:val="nil"/>
              <w:left w:val="nil"/>
              <w:bottom w:val="nil"/>
              <w:right w:val="nil"/>
            </w:tcBorders>
          </w:tcPr>
          <w:p w:rsidR="000F50E6" w:rsidRPr="005114EE" w:rsidRDefault="000F50E6" w:rsidP="000F50E6">
            <w:pPr>
              <w:keepNext/>
              <w:widowControl w:val="0"/>
              <w:spacing w:after="0"/>
              <w:ind w:firstLine="0"/>
              <w:jc w:val="center"/>
              <w:rPr>
                <w:rFonts w:eastAsia="Calibri"/>
                <w:b/>
                <w:bCs/>
                <w:color w:val="0000CC"/>
                <w:sz w:val="26"/>
                <w:szCs w:val="26"/>
              </w:rPr>
            </w:pPr>
            <w:bookmarkStart w:id="0" w:name="_GoBack"/>
            <w:bookmarkEnd w:id="0"/>
            <w:r w:rsidRPr="005114EE">
              <w:rPr>
                <w:rFonts w:eastAsia="Calibri"/>
                <w:b/>
                <w:bCs/>
                <w:color w:val="0000CC"/>
                <w:sz w:val="26"/>
                <w:szCs w:val="26"/>
              </w:rPr>
              <w:t>BỘ GIAO THÔNG VẬN TẢI</w:t>
            </w:r>
          </w:p>
          <w:p w:rsidR="000F50E6" w:rsidRPr="005114EE" w:rsidRDefault="00FF1F28" w:rsidP="000F50E6">
            <w:pPr>
              <w:keepNext/>
              <w:widowControl w:val="0"/>
              <w:spacing w:after="0"/>
              <w:ind w:firstLine="0"/>
              <w:jc w:val="center"/>
              <w:rPr>
                <w:rFonts w:eastAsia="Calibri"/>
                <w:b/>
                <w:bCs/>
                <w:color w:val="0000CC"/>
                <w:sz w:val="26"/>
                <w:szCs w:val="26"/>
              </w:rPr>
            </w:pPr>
            <w:r w:rsidRPr="005114EE">
              <w:rPr>
                <w:rFonts w:eastAsia="Calibri"/>
                <w:noProof/>
                <w:color w:val="0000CC"/>
                <w:szCs w:val="28"/>
                <w:lang w:eastAsia="ja-JP"/>
              </w:rPr>
              <mc:AlternateContent>
                <mc:Choice Requires="wps">
                  <w:drawing>
                    <wp:anchor distT="4294967294" distB="4294967294" distL="114300" distR="114300" simplePos="0" relativeHeight="251660288" behindDoc="0" locked="0" layoutInCell="1" allowOverlap="1" wp14:anchorId="0595BBC7" wp14:editId="5C517691">
                      <wp:simplePos x="0" y="0"/>
                      <wp:positionH relativeFrom="column">
                        <wp:posOffset>406400</wp:posOffset>
                      </wp:positionH>
                      <wp:positionV relativeFrom="paragraph">
                        <wp:posOffset>66675</wp:posOffset>
                      </wp:positionV>
                      <wp:extent cx="1329690" cy="0"/>
                      <wp:effectExtent l="6350" t="9525" r="698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72F0"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5.25pt" to="13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G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"/>
                  </w:pict>
                </mc:Fallback>
              </mc:AlternateContent>
            </w:r>
          </w:p>
          <w:p w:rsidR="000F50E6" w:rsidRPr="005114EE" w:rsidRDefault="00FF1F28" w:rsidP="00CD0A10">
            <w:pPr>
              <w:keepNext/>
              <w:widowControl w:val="0"/>
              <w:spacing w:after="0"/>
              <w:ind w:firstLine="0"/>
              <w:jc w:val="center"/>
              <w:rPr>
                <w:rFonts w:eastAsia="Calibri"/>
                <w:color w:val="0000CC"/>
                <w:sz w:val="26"/>
                <w:szCs w:val="26"/>
              </w:rPr>
            </w:pPr>
            <w:r w:rsidRPr="005114EE">
              <w:rPr>
                <w:rFonts w:eastAsia="Calibri"/>
                <w:noProof/>
                <w:color w:val="0000CC"/>
                <w:szCs w:val="28"/>
                <w:lang w:eastAsia="ja-JP"/>
              </w:rPr>
              <mc:AlternateContent>
                <mc:Choice Requires="wps">
                  <w:drawing>
                    <wp:anchor distT="0" distB="0" distL="114300" distR="114300" simplePos="0" relativeHeight="251662336" behindDoc="0" locked="0" layoutInCell="1" allowOverlap="1" wp14:anchorId="73FDF777" wp14:editId="710B7C46">
                      <wp:simplePos x="0" y="0"/>
                      <wp:positionH relativeFrom="column">
                        <wp:posOffset>477520</wp:posOffset>
                      </wp:positionH>
                      <wp:positionV relativeFrom="paragraph">
                        <wp:posOffset>346710</wp:posOffset>
                      </wp:positionV>
                      <wp:extent cx="1090930" cy="502920"/>
                      <wp:effectExtent l="10795" t="13335" r="12700" b="762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502920"/>
                              </a:xfrm>
                              <a:prstGeom prst="rect">
                                <a:avLst/>
                              </a:prstGeom>
                              <a:solidFill>
                                <a:srgbClr val="FFFFFF"/>
                              </a:solidFill>
                              <a:ln w="9525">
                                <a:solidFill>
                                  <a:srgbClr val="000000"/>
                                </a:solidFill>
                                <a:miter lim="800000"/>
                                <a:headEnd/>
                                <a:tailEnd/>
                              </a:ln>
                            </wps:spPr>
                            <wps:txbx>
                              <w:txbxContent>
                                <w:p w:rsidR="000F50E6" w:rsidRDefault="000F50E6" w:rsidP="00AF2AA5">
                                  <w:pPr>
                                    <w:spacing w:after="0"/>
                                    <w:ind w:firstLine="0"/>
                                    <w:jc w:val="center"/>
                                  </w:pPr>
                                  <w:r w:rsidRPr="000D0DF8">
                                    <w:t>DỰ THẢO</w:t>
                                  </w:r>
                                </w:p>
                                <w:p w:rsidR="00AF2AA5" w:rsidRDefault="00AF2AA5" w:rsidP="00AF2AA5">
                                  <w:pPr>
                                    <w:spacing w:after="0"/>
                                    <w:ind w:firstLine="0"/>
                                    <w:jc w:val="center"/>
                                  </w:pPr>
                                  <w:r>
                                    <w:t xml:space="preserve">(lần </w:t>
                                  </w:r>
                                  <w:r w:rsidR="00CD0A10">
                                    <w:t>1</w:t>
                                  </w:r>
                                  <w:r>
                                    <w:t>)</w:t>
                                  </w:r>
                                </w:p>
                                <w:p w:rsidR="00AF2AA5" w:rsidRPr="000D0DF8" w:rsidRDefault="00AF2AA5" w:rsidP="000F50E6">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F777" id="Rectangle 5" o:spid="_x0000_s1026" style="position:absolute;left:0;text-align:left;margin-left:37.6pt;margin-top:27.3pt;width:85.9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">
                      <v:textbox>
                        <w:txbxContent>
                          <w:p w:rsidR="000F50E6" w:rsidRDefault="000F50E6" w:rsidP="00AF2AA5">
                            <w:pPr>
                              <w:spacing w:after="0"/>
                              <w:ind w:firstLine="0"/>
                              <w:jc w:val="center"/>
                            </w:pPr>
                            <w:r w:rsidRPr="000D0DF8">
                              <w:t>DỰ THẢO</w:t>
                            </w:r>
                          </w:p>
                          <w:p w:rsidR="00AF2AA5" w:rsidRDefault="00AF2AA5" w:rsidP="00AF2AA5">
                            <w:pPr>
                              <w:spacing w:after="0"/>
                              <w:ind w:firstLine="0"/>
                              <w:jc w:val="center"/>
                            </w:pPr>
                            <w:r>
                              <w:t xml:space="preserve">(lần </w:t>
                            </w:r>
                            <w:r w:rsidR="00CD0A10">
                              <w:t>1</w:t>
                            </w:r>
                            <w:r>
                              <w:t>)</w:t>
                            </w:r>
                          </w:p>
                          <w:p w:rsidR="00AF2AA5" w:rsidRPr="000D0DF8" w:rsidRDefault="00AF2AA5" w:rsidP="000F50E6">
                            <w:pPr>
                              <w:ind w:firstLine="0"/>
                              <w:jc w:val="center"/>
                            </w:pPr>
                          </w:p>
                        </w:txbxContent>
                      </v:textbox>
                      <w10:wrap type="square"/>
                    </v:rect>
                  </w:pict>
                </mc:Fallback>
              </mc:AlternateContent>
            </w:r>
            <w:r w:rsidR="000F50E6" w:rsidRPr="005114EE">
              <w:rPr>
                <w:rFonts w:eastAsia="Calibri"/>
                <w:color w:val="0000CC"/>
                <w:sz w:val="26"/>
                <w:szCs w:val="26"/>
              </w:rPr>
              <w:t>Số        /20</w:t>
            </w:r>
            <w:r w:rsidR="00CD0A10" w:rsidRPr="005114EE">
              <w:rPr>
                <w:rFonts w:eastAsia="Calibri"/>
                <w:color w:val="0000CC"/>
                <w:sz w:val="26"/>
                <w:szCs w:val="26"/>
              </w:rPr>
              <w:t>20</w:t>
            </w:r>
            <w:r w:rsidR="000F50E6" w:rsidRPr="005114EE">
              <w:rPr>
                <w:rFonts w:eastAsia="Calibri"/>
                <w:color w:val="0000CC"/>
                <w:sz w:val="26"/>
                <w:szCs w:val="26"/>
              </w:rPr>
              <w:t xml:space="preserve">/TT-BGTVT </w:t>
            </w:r>
          </w:p>
        </w:tc>
        <w:tc>
          <w:tcPr>
            <w:tcW w:w="5854" w:type="dxa"/>
            <w:tcBorders>
              <w:top w:val="nil"/>
              <w:left w:val="nil"/>
              <w:bottom w:val="nil"/>
              <w:right w:val="nil"/>
            </w:tcBorders>
          </w:tcPr>
          <w:p w:rsidR="000F50E6" w:rsidRPr="005114EE" w:rsidRDefault="000F50E6" w:rsidP="000F50E6">
            <w:pPr>
              <w:keepNext/>
              <w:widowControl w:val="0"/>
              <w:spacing w:after="0"/>
              <w:ind w:firstLine="0"/>
              <w:jc w:val="center"/>
              <w:rPr>
                <w:rFonts w:eastAsia="Calibri"/>
                <w:color w:val="0000CC"/>
                <w:sz w:val="26"/>
                <w:szCs w:val="26"/>
              </w:rPr>
            </w:pPr>
            <w:r w:rsidRPr="005114EE">
              <w:rPr>
                <w:rFonts w:eastAsia="Calibri"/>
                <w:color w:val="0000CC"/>
                <w:sz w:val="26"/>
                <w:szCs w:val="26"/>
              </w:rPr>
              <w:t>CỘNG HÒA XÃ HỘI CHỦ NGHĨA VIỆT NAM</w:t>
            </w:r>
          </w:p>
          <w:p w:rsidR="000F50E6" w:rsidRPr="005114EE" w:rsidRDefault="000F50E6" w:rsidP="000F50E6">
            <w:pPr>
              <w:keepNext/>
              <w:widowControl w:val="0"/>
              <w:spacing w:after="0"/>
              <w:ind w:firstLine="0"/>
              <w:jc w:val="center"/>
              <w:rPr>
                <w:rFonts w:eastAsia="Calibri"/>
                <w:b/>
                <w:bCs/>
                <w:color w:val="0000CC"/>
                <w:sz w:val="26"/>
                <w:szCs w:val="26"/>
              </w:rPr>
            </w:pPr>
            <w:r w:rsidRPr="005114EE">
              <w:rPr>
                <w:rFonts w:eastAsia="Calibri"/>
                <w:b/>
                <w:bCs/>
                <w:color w:val="0000CC"/>
                <w:sz w:val="26"/>
                <w:szCs w:val="26"/>
              </w:rPr>
              <w:t>Độc lập – Tự do – Hạnh phúc</w:t>
            </w:r>
          </w:p>
          <w:p w:rsidR="000F50E6" w:rsidRPr="005114EE" w:rsidRDefault="00FF1F28" w:rsidP="000F50E6">
            <w:pPr>
              <w:keepNext/>
              <w:widowControl w:val="0"/>
              <w:spacing w:after="0"/>
              <w:ind w:firstLine="0"/>
              <w:jc w:val="center"/>
              <w:rPr>
                <w:rFonts w:eastAsia="Calibri"/>
                <w:b/>
                <w:bCs/>
                <w:color w:val="0000CC"/>
                <w:sz w:val="26"/>
                <w:szCs w:val="26"/>
              </w:rPr>
            </w:pPr>
            <w:r w:rsidRPr="005114EE">
              <w:rPr>
                <w:rFonts w:eastAsia="Calibri"/>
                <w:noProof/>
                <w:color w:val="0000CC"/>
                <w:szCs w:val="28"/>
                <w:lang w:eastAsia="ja-JP"/>
              </w:rPr>
              <mc:AlternateContent>
                <mc:Choice Requires="wps">
                  <w:drawing>
                    <wp:anchor distT="4294967294" distB="4294967294" distL="114300" distR="114300" simplePos="0" relativeHeight="251661312" behindDoc="0" locked="0" layoutInCell="1" allowOverlap="1" wp14:anchorId="4EC9CFC9" wp14:editId="2F352DA8">
                      <wp:simplePos x="0" y="0"/>
                      <wp:positionH relativeFrom="column">
                        <wp:posOffset>892175</wp:posOffset>
                      </wp:positionH>
                      <wp:positionV relativeFrom="paragraph">
                        <wp:posOffset>53975</wp:posOffset>
                      </wp:positionV>
                      <wp:extent cx="1828800" cy="0"/>
                      <wp:effectExtent l="6350" t="6350" r="1270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C657"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5pt,4.25pt" to="21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"/>
                  </w:pict>
                </mc:Fallback>
              </mc:AlternateContent>
            </w:r>
          </w:p>
          <w:p w:rsidR="000F50E6" w:rsidRPr="005114EE" w:rsidRDefault="000F50E6" w:rsidP="00CD0A10">
            <w:pPr>
              <w:keepNext/>
              <w:widowControl w:val="0"/>
              <w:spacing w:after="0"/>
              <w:ind w:firstLine="0"/>
              <w:jc w:val="center"/>
              <w:rPr>
                <w:rFonts w:eastAsia="Calibri"/>
                <w:i/>
                <w:iCs/>
                <w:color w:val="0000CC"/>
                <w:sz w:val="26"/>
                <w:szCs w:val="26"/>
              </w:rPr>
            </w:pPr>
            <w:r w:rsidRPr="005114EE">
              <w:rPr>
                <w:rFonts w:eastAsia="Calibri"/>
                <w:i/>
                <w:iCs/>
                <w:color w:val="0000CC"/>
                <w:sz w:val="26"/>
                <w:szCs w:val="26"/>
              </w:rPr>
              <w:t xml:space="preserve">Hà Nội, ngày </w:t>
            </w:r>
            <w:r w:rsidR="00001C6B" w:rsidRPr="005114EE">
              <w:rPr>
                <w:rFonts w:eastAsia="Calibri"/>
                <w:i/>
                <w:iCs/>
                <w:color w:val="0000CC"/>
                <w:sz w:val="26"/>
                <w:szCs w:val="26"/>
              </w:rPr>
              <w:t xml:space="preserve">  </w:t>
            </w:r>
            <w:r w:rsidRPr="005114EE">
              <w:rPr>
                <w:rFonts w:eastAsia="Calibri"/>
                <w:i/>
                <w:iCs/>
                <w:color w:val="0000CC"/>
                <w:sz w:val="26"/>
                <w:szCs w:val="26"/>
              </w:rPr>
              <w:t xml:space="preserve">   tháng    năm 20</w:t>
            </w:r>
            <w:r w:rsidR="00CD0A10" w:rsidRPr="005114EE">
              <w:rPr>
                <w:rFonts w:eastAsia="Calibri"/>
                <w:i/>
                <w:iCs/>
                <w:color w:val="0000CC"/>
                <w:sz w:val="26"/>
                <w:szCs w:val="26"/>
              </w:rPr>
              <w:t>20</w:t>
            </w:r>
          </w:p>
        </w:tc>
      </w:tr>
      <w:tr w:rsidR="005114EE" w:rsidRPr="005114EE" w:rsidTr="00BA03B1">
        <w:trPr>
          <w:trHeight w:val="280"/>
        </w:trPr>
        <w:tc>
          <w:tcPr>
            <w:tcW w:w="3570" w:type="dxa"/>
            <w:tcBorders>
              <w:top w:val="nil"/>
              <w:left w:val="nil"/>
              <w:bottom w:val="nil"/>
              <w:right w:val="nil"/>
            </w:tcBorders>
          </w:tcPr>
          <w:p w:rsidR="000F50E6" w:rsidRPr="005114EE" w:rsidRDefault="000F50E6" w:rsidP="000F50E6">
            <w:pPr>
              <w:keepNext/>
              <w:widowControl w:val="0"/>
              <w:spacing w:after="0"/>
              <w:ind w:firstLine="0"/>
              <w:jc w:val="center"/>
              <w:rPr>
                <w:rFonts w:eastAsia="Calibri"/>
                <w:b/>
                <w:bCs/>
                <w:color w:val="0000CC"/>
                <w:sz w:val="26"/>
                <w:szCs w:val="26"/>
              </w:rPr>
            </w:pPr>
          </w:p>
        </w:tc>
        <w:tc>
          <w:tcPr>
            <w:tcW w:w="5854" w:type="dxa"/>
            <w:tcBorders>
              <w:top w:val="nil"/>
              <w:left w:val="nil"/>
              <w:bottom w:val="nil"/>
              <w:right w:val="nil"/>
            </w:tcBorders>
          </w:tcPr>
          <w:p w:rsidR="000F50E6" w:rsidRPr="005114EE" w:rsidRDefault="000F50E6" w:rsidP="000F50E6">
            <w:pPr>
              <w:keepNext/>
              <w:widowControl w:val="0"/>
              <w:spacing w:after="0"/>
              <w:ind w:firstLine="0"/>
              <w:jc w:val="center"/>
              <w:rPr>
                <w:rFonts w:eastAsia="Calibri"/>
                <w:color w:val="0000CC"/>
                <w:sz w:val="26"/>
                <w:szCs w:val="26"/>
              </w:rPr>
            </w:pPr>
          </w:p>
        </w:tc>
      </w:tr>
    </w:tbl>
    <w:p w:rsidR="000F50E6" w:rsidRPr="005114EE" w:rsidRDefault="000F50E6" w:rsidP="00EB5E4D">
      <w:pPr>
        <w:keepNext/>
        <w:widowControl w:val="0"/>
        <w:spacing w:before="60" w:after="0"/>
        <w:ind w:firstLine="0"/>
        <w:jc w:val="center"/>
        <w:rPr>
          <w:rFonts w:eastAsia="Calibri"/>
          <w:color w:val="0000CC"/>
          <w:szCs w:val="28"/>
        </w:rPr>
      </w:pPr>
      <w:r w:rsidRPr="005114EE">
        <w:rPr>
          <w:rFonts w:eastAsia="Calibri"/>
          <w:b/>
          <w:bCs/>
          <w:color w:val="0000CC"/>
          <w:szCs w:val="28"/>
        </w:rPr>
        <w:t>THÔNG TƯ</w:t>
      </w:r>
    </w:p>
    <w:p w:rsidR="00CD180B" w:rsidRPr="005114EE" w:rsidRDefault="00CD0A10" w:rsidP="00FC2DD7">
      <w:pPr>
        <w:spacing w:before="60" w:after="0"/>
        <w:ind w:left="-142" w:right="-142" w:firstLine="0"/>
        <w:jc w:val="center"/>
        <w:rPr>
          <w:b/>
          <w:color w:val="0000CC"/>
          <w:szCs w:val="28"/>
          <w:lang w:val="nl-NL"/>
        </w:rPr>
      </w:pPr>
      <w:r w:rsidRPr="005114EE">
        <w:rPr>
          <w:b/>
          <w:color w:val="0000CC"/>
          <w:szCs w:val="28"/>
          <w:lang w:val="nl-NL"/>
        </w:rPr>
        <w:t>Hướng dẫn 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p>
    <w:p w:rsidR="000F50E6" w:rsidRPr="005114EE" w:rsidRDefault="0007297E" w:rsidP="00EB5E4D">
      <w:pPr>
        <w:spacing w:before="60" w:after="0"/>
        <w:rPr>
          <w:color w:val="0000CC"/>
          <w:szCs w:val="28"/>
          <w:lang w:val="nl-NL"/>
        </w:rPr>
      </w:pPr>
      <w:r w:rsidRPr="005114EE">
        <w:rPr>
          <w:noProof/>
          <w:color w:val="0000CC"/>
          <w:szCs w:val="28"/>
          <w:lang w:eastAsia="ja-JP"/>
        </w:rPr>
        <mc:AlternateContent>
          <mc:Choice Requires="wps">
            <w:drawing>
              <wp:anchor distT="0" distB="0" distL="114300" distR="114300" simplePos="0" relativeHeight="251663360" behindDoc="0" locked="0" layoutInCell="1" allowOverlap="1" wp14:anchorId="50998B98" wp14:editId="2D8D3244">
                <wp:simplePos x="0" y="0"/>
                <wp:positionH relativeFrom="column">
                  <wp:posOffset>1495780</wp:posOffset>
                </wp:positionH>
                <wp:positionV relativeFrom="paragraph">
                  <wp:posOffset>112141</wp:posOffset>
                </wp:positionV>
                <wp:extent cx="2793441"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7934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E107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8pt,8.85pt" to="33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" strokecolor="#4579b8 [3044]"/>
            </w:pict>
          </mc:Fallback>
        </mc:AlternateConten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 xml:space="preserve">Căn cứ Luật Đường sắt số 06/2017/QH14 ngày 16 tháng 6 năm 2017; </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Căn cứ Luật Giá số 11/2012/QH13 ngày 20 tháng 6 năm 2012;</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Căn cứ Luật Ngân sách nhà nước số 83/2015/QH13 ngày 25 tháng 6 năm 2015;</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Căn cứ Nghị định số 163/2016/NĐ-CP ngày 21 tháng 12 năm 2016 của Chính phủ quy định chi tiết thi hành một số điều của Luật Ngân sách nhà nước;</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Căn cứ Nghị định số 32/2019/NĐ-CP ngày 10 tháng 4 năm 2019 của Chính phủ quy định giao nhiệm vụ, đặt hàng hoặc đấu thầu cung cấp sản phẩm, dịch vụ công sử dụng ngân sách nhà nước tử nguồn kinh phí chi thường xuyên;</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Căn cứ Nghị định số 177/2013/NĐ-CP ngày 14 tháng 11 năm 2013 của Chính phủ quy định chi tiết và hướng dẫn thi hành một số Điều của Luật Giá; Nghị định 149/2016/NĐ-CP ngày 11 tháng 11 năm 2016 của Chính phủ sửa đổi, bổ sung một số điều của Nghị định số 177/2013/NĐ-CP;</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Căn cứ Nghị định số 12/2017/NĐ-CP ngày 10 tháng 02 năm 2017 của Chính phủ quy định chức năng, quyền hạn và cơ cấu tổ chức của Bộ Giao thông vận tải;</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Theo đề nghị của Vụ trưởng Vụ Tài chính và Cục trưởng Cục Đường sắt Việt Nam,</w:t>
      </w:r>
    </w:p>
    <w:p w:rsidR="00CD0A10" w:rsidRPr="005114EE" w:rsidRDefault="00CD0A10" w:rsidP="00196027">
      <w:pPr>
        <w:keepNext/>
        <w:widowControl w:val="0"/>
        <w:spacing w:before="120" w:after="0"/>
        <w:rPr>
          <w:i/>
          <w:color w:val="0000CC"/>
          <w:szCs w:val="28"/>
          <w:lang w:val="nl-NL"/>
        </w:rPr>
      </w:pPr>
      <w:r w:rsidRPr="005114EE">
        <w:rPr>
          <w:i/>
          <w:color w:val="0000CC"/>
          <w:szCs w:val="28"/>
          <w:lang w:val="nl-NL"/>
        </w:rPr>
        <w:t xml:space="preserve">Bộ trưởng Bộ Giao thông vận tải ban hành Thông tư </w:t>
      </w:r>
      <w:r w:rsidR="00FC2DD7" w:rsidRPr="005114EE">
        <w:rPr>
          <w:i/>
          <w:color w:val="0000CC"/>
          <w:szCs w:val="28"/>
          <w:lang w:val="nl-NL"/>
        </w:rPr>
        <w:t>hướng dẫn 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r w:rsidRPr="005114EE">
        <w:rPr>
          <w:i/>
          <w:color w:val="0000CC"/>
          <w:szCs w:val="28"/>
          <w:lang w:val="nl-NL"/>
        </w:rPr>
        <w:t>.</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Điều 1. Phạm vi Điều chỉnh</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xml:space="preserve">Thông tư này hướng dẫn về phương pháp định giá và quản lý giá dịch vụ sự nghiệp công trong lĩnh vực quản lý, bảo trì đường sắt quốc gia thực hiện theo phương thức đặt hàng sử dụng ngân sách nhà nước từ nguồn kinh phí chi thường xuyên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w:t>
      </w:r>
      <w:r w:rsidRPr="005114EE">
        <w:rPr>
          <w:color w:val="0000CC"/>
          <w:szCs w:val="28"/>
          <w:lang w:val="nl-NL"/>
        </w:rPr>
        <w:lastRenderedPageBreak/>
        <w:t>xuyên.</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Điều 2. Đối tượng áp dụng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Thông tư này áp dụng đối với cơ quan, tổ chức và doanh nghiệp có liên quan thực hiện sản xuất và cung ứng dịch vụ sự nghiệp công trong lĩnh vực quản lý, bảo trì đường sắt quốc gia thực hiện theo phương thức đặt hàng sử dụng ngân sách nhà nước từ nguồn kinh phí chi thường xuyên.</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Điều 3. Nguyên tắc xác định giá</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Giá dịch vụ sự nghiệp công trong lĩnh vực quản lý, bảo trì đường sắt quốc gia được xác định đảm bảo:</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1. Bù đắp chi phí thực tế hợp lý, hợp lệ để hoàn thành một đơn vị khối lượng dịch vụ sự nghiệp công quy định trong quản lý, bảo trì đường sắt quốc gia.</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2. Phù hợp với quy chuẩn, tiêu chuẩn, định mức kinh tế kỹ thuật được cơ quan nhà nước có thẩm quyền ban hành và trạng thái kỹ thuật của từng công trình, hoặc từng hạng mục công việc cụ thể.</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3. Phù hợp với tình hình thị trường nơi thi công và khối lượng, chất lượng sản dịch vụ sự nghiệp công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4. Không tính trong giá dịch vụ sự nghiệp công các khoản chi phí đã được ngân sách nhà nước đảm bảo.</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Điều 4. Kết cấu và phương pháp xác định giá dịch vụ sự nghiệp công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1. Kết cấu giá đối với công tác bảo dưỡng công trình thực hiện theo hướng dẫn tại Phụ lục số 01 kèm theo Thông tư này, bao gồm:</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xml:space="preserve">a) Chi phí trực tiếp: </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Chi phí nguyên, vật liệu, năng lượng;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Chi phí nhân công;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Chi phí máy và thiết bị thi công.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b) Chi phí gián tiếp:</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Chi phí chung;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 xml:space="preserve">- Chi phí </w:t>
      </w:r>
      <w:r w:rsidR="00087853" w:rsidRPr="005114EE">
        <w:rPr>
          <w:color w:val="0000CC"/>
          <w:szCs w:val="28"/>
          <w:lang w:val="nl-NL"/>
        </w:rPr>
        <w:t>một số công việc chưa tính đủ trong công tác bảo dưỡng công trình</w:t>
      </w:r>
      <w:r w:rsidRPr="005114EE">
        <w:rPr>
          <w:color w:val="0000CC"/>
          <w:szCs w:val="28"/>
          <w:lang w:val="nl-NL"/>
        </w:rPr>
        <w:t xml:space="preserve">. </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c) Thu nhập chịu thuế tính trước;</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d) Thuế giá trị gia tăng.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2. Phương pháp xác định giá đối với công tác bảo dưỡng công trình thực hiện theo hướng dẫn tại Phụ lục số 02 ban hành kèm theo Thông tư này.</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3. Đối với công tác sửa chữa và công tác khác thực hiện theo quy định của pháp luật về đầu tư xây dựng và pháp luật có liên quan.</w:t>
      </w:r>
    </w:p>
    <w:p w:rsidR="00CD0A10" w:rsidRPr="005114EE" w:rsidRDefault="000319A3" w:rsidP="00196027">
      <w:pPr>
        <w:keepNext/>
        <w:widowControl w:val="0"/>
        <w:spacing w:before="120" w:after="0"/>
        <w:rPr>
          <w:color w:val="0000CC"/>
          <w:szCs w:val="28"/>
          <w:lang w:val="nl-NL"/>
        </w:rPr>
      </w:pPr>
      <w:r w:rsidRPr="000319A3">
        <w:rPr>
          <w:color w:val="0000CC"/>
          <w:szCs w:val="28"/>
          <w:lang w:val="nl-NL"/>
        </w:rPr>
        <w:t xml:space="preserve">4. Chi phí quản lý kết cấu hạ tầng đường sắt quốc gia, chi phí quản lý công tác đặt hàng, chi phí giám sát công tác bảo dưỡng và các chi phí có liên quan khác </w:t>
      </w:r>
      <w:r w:rsidRPr="000319A3">
        <w:rPr>
          <w:color w:val="0000CC"/>
          <w:szCs w:val="28"/>
          <w:lang w:val="nl-NL"/>
        </w:rPr>
        <w:lastRenderedPageBreak/>
        <w:t>thực hiện theo quy định tại Điều 5, Điều 6 và Điều 7 Thông tư này.</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Điều 5. Chi phí quản lý kết cấu hạ tầng đường sắt quốc gia</w:t>
      </w:r>
    </w:p>
    <w:p w:rsidR="00DD72AD" w:rsidRPr="005114EE" w:rsidRDefault="00C05C76" w:rsidP="00196027">
      <w:pPr>
        <w:keepNext/>
        <w:widowControl w:val="0"/>
        <w:spacing w:before="120" w:after="0"/>
        <w:rPr>
          <w:color w:val="0000CC"/>
          <w:szCs w:val="28"/>
          <w:lang w:val="nl-NL"/>
        </w:rPr>
      </w:pPr>
      <w:r w:rsidRPr="005114EE">
        <w:rPr>
          <w:color w:val="0000CC"/>
          <w:szCs w:val="28"/>
          <w:lang w:val="nl-NL"/>
        </w:rPr>
        <w:t>1</w:t>
      </w:r>
      <w:r w:rsidR="00DD72AD" w:rsidRPr="005114EE">
        <w:rPr>
          <w:color w:val="0000CC"/>
          <w:szCs w:val="28"/>
          <w:lang w:val="nl-NL"/>
        </w:rPr>
        <w:t>) Nội dung chi phí:</w:t>
      </w:r>
    </w:p>
    <w:p w:rsidR="00DD72AD" w:rsidRPr="005114EE" w:rsidRDefault="006F33F5" w:rsidP="00196027">
      <w:pPr>
        <w:keepNext/>
        <w:widowControl w:val="0"/>
        <w:spacing w:before="120" w:after="0"/>
        <w:rPr>
          <w:color w:val="0000CC"/>
          <w:szCs w:val="28"/>
          <w:lang w:val="nl-NL"/>
        </w:rPr>
      </w:pPr>
      <w:r w:rsidRPr="005114EE">
        <w:rPr>
          <w:color w:val="0000CC"/>
          <w:szCs w:val="28"/>
          <w:lang w:val="nl-NL"/>
        </w:rPr>
        <w:t>a)</w:t>
      </w:r>
      <w:r w:rsidR="00DD72AD" w:rsidRPr="005114EE">
        <w:rPr>
          <w:color w:val="0000CC"/>
          <w:szCs w:val="28"/>
          <w:lang w:val="nl-NL"/>
        </w:rPr>
        <w:t xml:space="preserve"> Chi phí thực hiện điều tra, lập kế hoạch bảo trì; xây dựng đơn giá, giá dịch vụ sự nghiệ</w:t>
      </w:r>
      <w:r w:rsidR="00536BCA" w:rsidRPr="005114EE">
        <w:rPr>
          <w:color w:val="0000CC"/>
          <w:szCs w:val="28"/>
          <w:lang w:val="nl-NL"/>
        </w:rPr>
        <w:t>p công;</w:t>
      </w:r>
    </w:p>
    <w:p w:rsidR="00536BCA" w:rsidRPr="005114EE" w:rsidRDefault="00536BCA" w:rsidP="00196027">
      <w:pPr>
        <w:keepNext/>
        <w:widowControl w:val="0"/>
        <w:spacing w:before="120" w:after="0"/>
        <w:rPr>
          <w:color w:val="0000CC"/>
          <w:szCs w:val="28"/>
          <w:lang w:val="nl-NL"/>
        </w:rPr>
      </w:pPr>
      <w:r w:rsidRPr="005114EE">
        <w:rPr>
          <w:color w:val="0000CC"/>
          <w:szCs w:val="28"/>
          <w:lang w:val="nl-NL"/>
        </w:rPr>
        <w:t xml:space="preserve">b) </w:t>
      </w:r>
      <w:r w:rsidRPr="00095239">
        <w:rPr>
          <w:color w:val="0000CC"/>
          <w:szCs w:val="28"/>
          <w:shd w:val="clear" w:color="auto" w:fill="FFFFFF"/>
          <w:lang w:val="nl-NL"/>
        </w:rPr>
        <w:t>Chi phí tổ chức, thực hiện rà soát, phân loại tài sản kết cấu hạ tầng đường sắt</w:t>
      </w:r>
      <w:r w:rsidR="00E40576" w:rsidRPr="00095239">
        <w:rPr>
          <w:color w:val="0000CC"/>
          <w:szCs w:val="28"/>
          <w:shd w:val="clear" w:color="auto" w:fill="FFFFFF"/>
          <w:lang w:val="nl-NL"/>
        </w:rPr>
        <w:t xml:space="preserve"> (nếu có)</w:t>
      </w:r>
      <w:r w:rsidRPr="00095239">
        <w:rPr>
          <w:color w:val="0000CC"/>
          <w:szCs w:val="28"/>
          <w:shd w:val="clear" w:color="auto" w:fill="FFFFFF"/>
          <w:lang w:val="nl-NL"/>
        </w:rPr>
        <w:t>;</w:t>
      </w:r>
    </w:p>
    <w:p w:rsidR="00DD72AD" w:rsidRPr="005114EE" w:rsidRDefault="00536BCA" w:rsidP="00196027">
      <w:pPr>
        <w:keepNext/>
        <w:widowControl w:val="0"/>
        <w:spacing w:before="120" w:after="0"/>
        <w:rPr>
          <w:color w:val="0000CC"/>
          <w:szCs w:val="28"/>
          <w:lang w:val="nl-NL"/>
        </w:rPr>
      </w:pPr>
      <w:r w:rsidRPr="005114EE">
        <w:rPr>
          <w:color w:val="0000CC"/>
          <w:szCs w:val="28"/>
          <w:lang w:val="nl-NL"/>
        </w:rPr>
        <w:t>c</w:t>
      </w:r>
      <w:r w:rsidR="006F33F5" w:rsidRPr="005114EE">
        <w:rPr>
          <w:color w:val="0000CC"/>
          <w:szCs w:val="28"/>
          <w:lang w:val="nl-NL"/>
        </w:rPr>
        <w:t>)</w:t>
      </w:r>
      <w:r w:rsidR="00DD72AD" w:rsidRPr="005114EE">
        <w:rPr>
          <w:color w:val="0000CC"/>
          <w:szCs w:val="28"/>
          <w:lang w:val="nl-NL"/>
        </w:rPr>
        <w:t xml:space="preserve"> Chi phí lập, lưu trữ và cập nhật hồ sơ quản lý kết cấu hạ tầng đường sắt;</w:t>
      </w:r>
    </w:p>
    <w:p w:rsidR="00DD72AD" w:rsidRPr="005114EE" w:rsidRDefault="00536BCA" w:rsidP="00196027">
      <w:pPr>
        <w:keepNext/>
        <w:widowControl w:val="0"/>
        <w:spacing w:before="120" w:after="0"/>
        <w:rPr>
          <w:color w:val="0000CC"/>
          <w:szCs w:val="28"/>
          <w:lang w:val="nl-NL"/>
        </w:rPr>
      </w:pPr>
      <w:r w:rsidRPr="005114EE">
        <w:rPr>
          <w:color w:val="0000CC"/>
          <w:szCs w:val="28"/>
          <w:lang w:val="nl-NL"/>
        </w:rPr>
        <w:t>d</w:t>
      </w:r>
      <w:r w:rsidR="006F33F5" w:rsidRPr="005114EE">
        <w:rPr>
          <w:color w:val="0000CC"/>
          <w:szCs w:val="28"/>
          <w:lang w:val="nl-NL"/>
        </w:rPr>
        <w:t>)</w:t>
      </w:r>
      <w:r w:rsidR="00DD72AD" w:rsidRPr="005114EE">
        <w:rPr>
          <w:color w:val="0000CC"/>
          <w:szCs w:val="28"/>
          <w:lang w:val="nl-NL"/>
        </w:rPr>
        <w:t xml:space="preserve"> Chi phí tổ chức công tác kế toán tài sản kết cấu hạ tầng đường sắt;</w:t>
      </w:r>
    </w:p>
    <w:p w:rsidR="00DD72AD" w:rsidRPr="005114EE" w:rsidRDefault="00536BCA" w:rsidP="00196027">
      <w:pPr>
        <w:keepNext/>
        <w:widowControl w:val="0"/>
        <w:spacing w:before="120" w:after="0"/>
        <w:rPr>
          <w:color w:val="0000CC"/>
          <w:szCs w:val="28"/>
          <w:lang w:val="nl-NL"/>
        </w:rPr>
      </w:pPr>
      <w:r w:rsidRPr="005114EE">
        <w:rPr>
          <w:color w:val="0000CC"/>
          <w:szCs w:val="28"/>
          <w:lang w:val="nl-NL"/>
        </w:rPr>
        <w:t>đ</w:t>
      </w:r>
      <w:r w:rsidR="00A0551D" w:rsidRPr="005114EE">
        <w:rPr>
          <w:color w:val="0000CC"/>
          <w:szCs w:val="28"/>
          <w:lang w:val="nl-NL"/>
        </w:rPr>
        <w:t>)</w:t>
      </w:r>
      <w:r w:rsidR="00DD72AD" w:rsidRPr="005114EE">
        <w:rPr>
          <w:color w:val="0000CC"/>
          <w:szCs w:val="28"/>
          <w:lang w:val="nl-NL"/>
        </w:rPr>
        <w:t xml:space="preserve"> Chi phí kiểm kê, báo cáo về tài sản kết cấu hạ tầng đường sắt theo quy định;</w:t>
      </w:r>
    </w:p>
    <w:p w:rsidR="00DD72AD" w:rsidRPr="005114EE" w:rsidRDefault="00536BCA" w:rsidP="00196027">
      <w:pPr>
        <w:keepNext/>
        <w:widowControl w:val="0"/>
        <w:spacing w:before="120" w:after="0"/>
        <w:rPr>
          <w:color w:val="0000CC"/>
          <w:szCs w:val="28"/>
          <w:lang w:val="nl-NL"/>
        </w:rPr>
      </w:pPr>
      <w:r w:rsidRPr="005114EE">
        <w:rPr>
          <w:color w:val="0000CC"/>
          <w:szCs w:val="28"/>
          <w:lang w:val="nl-NL"/>
        </w:rPr>
        <w:t>e</w:t>
      </w:r>
      <w:r w:rsidR="006F33F5" w:rsidRPr="005114EE">
        <w:rPr>
          <w:color w:val="0000CC"/>
          <w:szCs w:val="28"/>
          <w:lang w:val="nl-NL"/>
        </w:rPr>
        <w:t>)</w:t>
      </w:r>
      <w:r w:rsidR="00DD72AD" w:rsidRPr="005114EE">
        <w:rPr>
          <w:color w:val="0000CC"/>
          <w:szCs w:val="28"/>
          <w:lang w:val="nl-NL"/>
        </w:rPr>
        <w:t xml:space="preserve"> Chi phí thu hồi, điều chuyển, chuyển đổi công năng, bán, thanh lý, tiêu hủy và các hình thức xử lý khác đối với tài sản kết cấu hạ tầng đường sắt.</w:t>
      </w:r>
    </w:p>
    <w:p w:rsidR="00DD72AD" w:rsidRPr="005114EE" w:rsidRDefault="00C05C76" w:rsidP="00196027">
      <w:pPr>
        <w:keepNext/>
        <w:widowControl w:val="0"/>
        <w:spacing w:before="120" w:after="0"/>
        <w:rPr>
          <w:color w:val="0000CC"/>
          <w:szCs w:val="28"/>
          <w:lang w:val="nl-NL"/>
        </w:rPr>
      </w:pPr>
      <w:r w:rsidRPr="005114EE">
        <w:rPr>
          <w:color w:val="0000CC"/>
          <w:szCs w:val="28"/>
          <w:lang w:val="nl-NL"/>
        </w:rPr>
        <w:t>2</w:t>
      </w:r>
      <w:r w:rsidR="00DD72AD" w:rsidRPr="005114EE">
        <w:rPr>
          <w:color w:val="0000CC"/>
          <w:szCs w:val="28"/>
          <w:lang w:val="nl-NL"/>
        </w:rPr>
        <w:t>) Phương pháp xác định:</w:t>
      </w:r>
    </w:p>
    <w:p w:rsidR="00DD72AD" w:rsidRPr="005114EE" w:rsidRDefault="00C05C76" w:rsidP="00196027">
      <w:pPr>
        <w:keepNext/>
        <w:widowControl w:val="0"/>
        <w:spacing w:before="120" w:after="0"/>
        <w:rPr>
          <w:color w:val="0000CC"/>
          <w:szCs w:val="28"/>
          <w:lang w:val="nl-NL"/>
        </w:rPr>
      </w:pPr>
      <w:r w:rsidRPr="005114EE">
        <w:rPr>
          <w:color w:val="0000CC"/>
          <w:szCs w:val="28"/>
          <w:lang w:val="nl-NL"/>
        </w:rPr>
        <w:t>a)</w:t>
      </w:r>
      <w:r w:rsidR="00DD72AD" w:rsidRPr="005114EE">
        <w:rPr>
          <w:color w:val="0000CC"/>
          <w:szCs w:val="28"/>
          <w:lang w:val="nl-NL"/>
        </w:rPr>
        <w:t xml:space="preserve"> Phương án 1: Chi phí quản lý kết cấu hạ tầng đường sắt được xác định </w:t>
      </w:r>
      <w:r w:rsidR="0007297E" w:rsidRPr="005114EE">
        <w:rPr>
          <w:color w:val="0000CC"/>
          <w:szCs w:val="28"/>
          <w:lang w:val="nl-NL"/>
        </w:rPr>
        <w:t xml:space="preserve">trên cơ sở định mức chi phí </w:t>
      </w:r>
      <w:r w:rsidR="00DD72AD" w:rsidRPr="005114EE">
        <w:rPr>
          <w:color w:val="0000CC"/>
          <w:szCs w:val="28"/>
          <w:lang w:val="nl-NL"/>
        </w:rPr>
        <w:t xml:space="preserve">theo tỷ lệ (%) </w:t>
      </w:r>
      <w:r w:rsidR="007060BF">
        <w:rPr>
          <w:color w:val="0000CC"/>
          <w:szCs w:val="28"/>
          <w:lang w:val="nl-NL"/>
        </w:rPr>
        <w:t>ban hành</w:t>
      </w:r>
      <w:r w:rsidR="00DD72AD" w:rsidRPr="005114EE">
        <w:rPr>
          <w:color w:val="0000CC"/>
          <w:szCs w:val="28"/>
          <w:lang w:val="nl-NL"/>
        </w:rPr>
        <w:t xml:space="preserve"> tại Phụ lục 03 của Thông tư này nhân với giá dịch vụ sự nghiệp công được phê duyệ</w:t>
      </w:r>
      <w:r w:rsidR="0007297E" w:rsidRPr="005114EE">
        <w:rPr>
          <w:color w:val="0000CC"/>
          <w:szCs w:val="28"/>
          <w:lang w:val="nl-NL"/>
        </w:rPr>
        <w:t>t.</w:t>
      </w:r>
    </w:p>
    <w:p w:rsidR="00D32EF5" w:rsidRDefault="00C05C76" w:rsidP="00196027">
      <w:pPr>
        <w:keepNext/>
        <w:widowControl w:val="0"/>
        <w:spacing w:before="120" w:after="0"/>
        <w:rPr>
          <w:i/>
          <w:color w:val="0000CC"/>
          <w:szCs w:val="28"/>
          <w:lang w:val="nl-NL"/>
        </w:rPr>
      </w:pPr>
      <w:r w:rsidRPr="005114EE">
        <w:rPr>
          <w:i/>
          <w:color w:val="0000CC"/>
          <w:szCs w:val="28"/>
          <w:lang w:val="nl-NL"/>
        </w:rPr>
        <w:t>-</w:t>
      </w:r>
      <w:r w:rsidR="00DD72AD" w:rsidRPr="005114EE">
        <w:rPr>
          <w:i/>
          <w:color w:val="0000CC"/>
          <w:szCs w:val="28"/>
          <w:lang w:val="nl-NL"/>
        </w:rPr>
        <w:t xml:space="preserve"> Ưu điểm:</w:t>
      </w:r>
      <w:r w:rsidR="006F33F5" w:rsidRPr="005114EE">
        <w:rPr>
          <w:i/>
          <w:color w:val="0000CC"/>
          <w:szCs w:val="28"/>
          <w:lang w:val="nl-NL"/>
        </w:rPr>
        <w:t xml:space="preserve"> </w:t>
      </w:r>
    </w:p>
    <w:p w:rsidR="00D32EF5" w:rsidRDefault="00D32EF5" w:rsidP="00196027">
      <w:pPr>
        <w:keepNext/>
        <w:widowControl w:val="0"/>
        <w:spacing w:before="120" w:after="0"/>
        <w:rPr>
          <w:i/>
          <w:color w:val="0000CC"/>
          <w:szCs w:val="28"/>
          <w:lang w:val="nl-NL"/>
        </w:rPr>
      </w:pPr>
      <w:r>
        <w:rPr>
          <w:i/>
          <w:color w:val="0000CC"/>
          <w:szCs w:val="28"/>
          <w:lang w:val="nl-NL"/>
        </w:rPr>
        <w:t>+ Phù hợp với quy định tại khoản 2 Điều 12 Nghị định số 32/2019/NĐ-CP khi thực hiện đặt hàng.</w:t>
      </w:r>
    </w:p>
    <w:p w:rsidR="00D32EF5" w:rsidRDefault="00D32EF5" w:rsidP="00196027">
      <w:pPr>
        <w:keepNext/>
        <w:widowControl w:val="0"/>
        <w:spacing w:before="120" w:after="0"/>
        <w:rPr>
          <w:i/>
          <w:color w:val="0000CC"/>
          <w:szCs w:val="28"/>
          <w:lang w:val="nl-NL"/>
        </w:rPr>
      </w:pPr>
      <w:r>
        <w:rPr>
          <w:i/>
          <w:color w:val="0000CC"/>
          <w:szCs w:val="28"/>
          <w:lang w:val="nl-NL"/>
        </w:rPr>
        <w:t xml:space="preserve">+ </w:t>
      </w:r>
      <w:r w:rsidR="00222B24" w:rsidRPr="005114EE">
        <w:rPr>
          <w:i/>
          <w:color w:val="0000CC"/>
          <w:szCs w:val="28"/>
          <w:lang w:val="nl-NL"/>
        </w:rPr>
        <w:t>Việc đưa ra mức tỷ lệ % bảo đảm điều kiện dễ áp dụng trong thực tế</w:t>
      </w:r>
      <w:r>
        <w:rPr>
          <w:i/>
          <w:color w:val="0000CC"/>
          <w:szCs w:val="28"/>
          <w:lang w:val="nl-NL"/>
        </w:rPr>
        <w:t>.</w:t>
      </w:r>
    </w:p>
    <w:p w:rsidR="00D32EF5" w:rsidRDefault="00D32EF5" w:rsidP="00196027">
      <w:pPr>
        <w:keepNext/>
        <w:widowControl w:val="0"/>
        <w:spacing w:before="120" w:after="0"/>
        <w:rPr>
          <w:i/>
          <w:color w:val="0000CC"/>
          <w:szCs w:val="28"/>
          <w:lang w:val="nl-NL"/>
        </w:rPr>
      </w:pPr>
      <w:r>
        <w:rPr>
          <w:i/>
          <w:color w:val="0000CC"/>
          <w:szCs w:val="28"/>
          <w:lang w:val="nl-NL"/>
        </w:rPr>
        <w:t>+</w:t>
      </w:r>
      <w:r w:rsidR="00222B24" w:rsidRPr="005114EE">
        <w:rPr>
          <w:i/>
          <w:color w:val="0000CC"/>
          <w:szCs w:val="28"/>
          <w:lang w:val="nl-NL"/>
        </w:rPr>
        <w:t xml:space="preserve"> </w:t>
      </w:r>
      <w:r>
        <w:rPr>
          <w:i/>
          <w:color w:val="0000CC"/>
          <w:szCs w:val="28"/>
          <w:lang w:val="nl-NL"/>
        </w:rPr>
        <w:t>G</w:t>
      </w:r>
      <w:r w:rsidR="00222B24" w:rsidRPr="005114EE">
        <w:rPr>
          <w:i/>
          <w:color w:val="0000CC"/>
          <w:szCs w:val="28"/>
          <w:lang w:val="nl-NL"/>
        </w:rPr>
        <w:t>iảm thời gian cho việc lập, thẩm tra, thẩm định chi phí</w:t>
      </w:r>
      <w:r>
        <w:rPr>
          <w:i/>
          <w:color w:val="0000CC"/>
          <w:szCs w:val="28"/>
          <w:lang w:val="nl-NL"/>
        </w:rPr>
        <w:t>.</w:t>
      </w:r>
    </w:p>
    <w:p w:rsidR="00DD72AD" w:rsidRPr="005114EE" w:rsidRDefault="00D32EF5" w:rsidP="00196027">
      <w:pPr>
        <w:keepNext/>
        <w:widowControl w:val="0"/>
        <w:spacing w:before="120" w:after="0"/>
        <w:rPr>
          <w:i/>
          <w:color w:val="0000CC"/>
          <w:szCs w:val="28"/>
          <w:lang w:val="nl-NL"/>
        </w:rPr>
      </w:pPr>
      <w:r>
        <w:rPr>
          <w:i/>
          <w:color w:val="0000CC"/>
          <w:szCs w:val="28"/>
          <w:lang w:val="nl-NL"/>
        </w:rPr>
        <w:t>+ Tạo điều kiện cho doanh nghiệp chủ động thực hiện.</w:t>
      </w:r>
    </w:p>
    <w:p w:rsidR="00DD72AD" w:rsidRPr="005114EE" w:rsidRDefault="00C05C76" w:rsidP="00196027">
      <w:pPr>
        <w:keepNext/>
        <w:widowControl w:val="0"/>
        <w:spacing w:before="120" w:after="0"/>
        <w:rPr>
          <w:i/>
          <w:color w:val="0000CC"/>
          <w:szCs w:val="28"/>
          <w:lang w:val="nl-NL"/>
        </w:rPr>
      </w:pPr>
      <w:r w:rsidRPr="005114EE">
        <w:rPr>
          <w:i/>
          <w:color w:val="0000CC"/>
          <w:szCs w:val="28"/>
          <w:lang w:val="nl-NL"/>
        </w:rPr>
        <w:t>-</w:t>
      </w:r>
      <w:r w:rsidR="00DD72AD" w:rsidRPr="005114EE">
        <w:rPr>
          <w:i/>
          <w:color w:val="0000CC"/>
          <w:szCs w:val="28"/>
          <w:lang w:val="nl-NL"/>
        </w:rPr>
        <w:t xml:space="preserve"> Nhược điểm:</w:t>
      </w:r>
      <w:r w:rsidR="006F33F5" w:rsidRPr="005114EE">
        <w:rPr>
          <w:i/>
          <w:color w:val="0000CC"/>
          <w:szCs w:val="28"/>
          <w:lang w:val="nl-NL"/>
        </w:rPr>
        <w:t xml:space="preserve"> Các chi phí này trước đây chưa được quy định, nội dung chi phí cho nhiều công tác khác nhau và cần có </w:t>
      </w:r>
      <w:r w:rsidR="009C17A9" w:rsidRPr="005114EE">
        <w:rPr>
          <w:i/>
          <w:color w:val="0000CC"/>
          <w:szCs w:val="28"/>
          <w:lang w:val="nl-NL"/>
        </w:rPr>
        <w:t xml:space="preserve">đủ thời gian để thu thập </w:t>
      </w:r>
      <w:r w:rsidR="006F33F5" w:rsidRPr="005114EE">
        <w:rPr>
          <w:i/>
          <w:color w:val="0000CC"/>
          <w:szCs w:val="28"/>
          <w:lang w:val="nl-NL"/>
        </w:rPr>
        <w:t>số liệu làm cơ sở đưa ra mức chi phí tỷ lệ phù hợp với điều kiện thực tế.</w:t>
      </w:r>
    </w:p>
    <w:p w:rsidR="00DD72AD" w:rsidRPr="005114EE" w:rsidRDefault="00C05C76" w:rsidP="00196027">
      <w:pPr>
        <w:keepNext/>
        <w:widowControl w:val="0"/>
        <w:spacing w:before="120" w:after="0"/>
        <w:rPr>
          <w:color w:val="0000CC"/>
          <w:szCs w:val="28"/>
          <w:lang w:val="nl-NL"/>
        </w:rPr>
      </w:pPr>
      <w:r w:rsidRPr="005114EE">
        <w:rPr>
          <w:color w:val="0000CC"/>
          <w:szCs w:val="28"/>
          <w:lang w:val="nl-NL"/>
        </w:rPr>
        <w:t>b)</w:t>
      </w:r>
      <w:r w:rsidR="00DD72AD" w:rsidRPr="005114EE">
        <w:rPr>
          <w:color w:val="0000CC"/>
          <w:szCs w:val="28"/>
          <w:lang w:val="nl-NL"/>
        </w:rPr>
        <w:t xml:space="preserve"> Phương án 2: Chi phí quản lý kết cấu hạ tầng đường sắt được tính dự toán riêng theo nhiệm vụ cụ thể và được tổng hợp trong phương án giá dịch vụ sự nghiệp công.</w:t>
      </w:r>
    </w:p>
    <w:p w:rsidR="00DD72AD" w:rsidRPr="005114EE" w:rsidRDefault="00C05C76" w:rsidP="00196027">
      <w:pPr>
        <w:keepNext/>
        <w:widowControl w:val="0"/>
        <w:spacing w:before="120" w:after="0"/>
        <w:rPr>
          <w:i/>
          <w:color w:val="0000CC"/>
          <w:szCs w:val="28"/>
          <w:lang w:val="nl-NL"/>
        </w:rPr>
      </w:pPr>
      <w:r w:rsidRPr="005114EE">
        <w:rPr>
          <w:i/>
          <w:color w:val="0000CC"/>
          <w:szCs w:val="28"/>
          <w:lang w:val="nl-NL"/>
        </w:rPr>
        <w:t>-</w:t>
      </w:r>
      <w:r w:rsidR="00DD72AD" w:rsidRPr="005114EE">
        <w:rPr>
          <w:i/>
          <w:color w:val="0000CC"/>
          <w:szCs w:val="28"/>
          <w:lang w:val="nl-NL"/>
        </w:rPr>
        <w:t xml:space="preserve"> Ưu điểm:</w:t>
      </w:r>
      <w:r w:rsidR="00792DE8" w:rsidRPr="005114EE">
        <w:rPr>
          <w:i/>
          <w:color w:val="0000CC"/>
          <w:szCs w:val="28"/>
          <w:lang w:val="nl-NL"/>
        </w:rPr>
        <w:t xml:space="preserve"> </w:t>
      </w:r>
      <w:r w:rsidR="00A0551D" w:rsidRPr="005114EE">
        <w:rPr>
          <w:i/>
          <w:color w:val="0000CC"/>
          <w:szCs w:val="28"/>
          <w:lang w:val="nl-NL"/>
        </w:rPr>
        <w:t>Việc lập dự toán có thể thực hiện ngay mà không cần phải thu thập số liệu các năm trước đây đã thực hiện.</w:t>
      </w:r>
    </w:p>
    <w:p w:rsidR="00D32EF5" w:rsidRDefault="00C05C76" w:rsidP="00196027">
      <w:pPr>
        <w:keepNext/>
        <w:widowControl w:val="0"/>
        <w:spacing w:before="120" w:after="0"/>
        <w:rPr>
          <w:i/>
          <w:color w:val="0000CC"/>
          <w:szCs w:val="28"/>
          <w:lang w:val="nl-NL"/>
        </w:rPr>
      </w:pPr>
      <w:r w:rsidRPr="005114EE">
        <w:rPr>
          <w:i/>
          <w:color w:val="0000CC"/>
          <w:szCs w:val="28"/>
          <w:lang w:val="nl-NL"/>
        </w:rPr>
        <w:t>-</w:t>
      </w:r>
      <w:r w:rsidR="00DD72AD" w:rsidRPr="005114EE">
        <w:rPr>
          <w:i/>
          <w:color w:val="0000CC"/>
          <w:szCs w:val="28"/>
          <w:lang w:val="nl-NL"/>
        </w:rPr>
        <w:t xml:space="preserve"> Nhược điểm:</w:t>
      </w:r>
      <w:r w:rsidR="00792DE8" w:rsidRPr="005114EE">
        <w:rPr>
          <w:i/>
          <w:color w:val="0000CC"/>
          <w:szCs w:val="28"/>
          <w:lang w:val="nl-NL"/>
        </w:rPr>
        <w:t xml:space="preserve"> </w:t>
      </w:r>
    </w:p>
    <w:p w:rsidR="00D32EF5" w:rsidRDefault="00D32EF5" w:rsidP="00D32EF5">
      <w:pPr>
        <w:keepNext/>
        <w:widowControl w:val="0"/>
        <w:spacing w:before="120" w:after="0"/>
        <w:rPr>
          <w:i/>
          <w:color w:val="0000CC"/>
          <w:szCs w:val="28"/>
          <w:lang w:val="nl-NL"/>
        </w:rPr>
      </w:pPr>
      <w:r>
        <w:rPr>
          <w:i/>
          <w:color w:val="0000CC"/>
          <w:szCs w:val="28"/>
          <w:lang w:val="nl-NL"/>
        </w:rPr>
        <w:t>+ Không phù hợp với quy định tại khoản 2 Điều 12 Nghị định số 32/2019/NĐ-CP khi thực hiện đặt hàng.</w:t>
      </w:r>
    </w:p>
    <w:p w:rsidR="00792DE8" w:rsidRDefault="00D32EF5" w:rsidP="00196027">
      <w:pPr>
        <w:keepNext/>
        <w:widowControl w:val="0"/>
        <w:spacing w:before="120" w:after="0"/>
        <w:rPr>
          <w:i/>
          <w:color w:val="0000CC"/>
          <w:szCs w:val="28"/>
          <w:lang w:val="nl-NL"/>
        </w:rPr>
      </w:pPr>
      <w:r>
        <w:rPr>
          <w:i/>
          <w:color w:val="0000CC"/>
          <w:szCs w:val="28"/>
          <w:lang w:val="nl-NL"/>
        </w:rPr>
        <w:t xml:space="preserve">+ </w:t>
      </w:r>
      <w:r w:rsidR="00792DE8" w:rsidRPr="005114EE">
        <w:rPr>
          <w:i/>
          <w:color w:val="0000CC"/>
          <w:szCs w:val="28"/>
          <w:lang w:val="nl-NL"/>
        </w:rPr>
        <w:t xml:space="preserve">Gặp khó khăn áp dụng trong thực tế vì các nội dung công việc khó lượng hóa để xác định khối lượng tương ứng với mức hao phí, mất nhiều thời gian cho </w:t>
      </w:r>
      <w:r w:rsidR="00792DE8" w:rsidRPr="005114EE">
        <w:rPr>
          <w:i/>
          <w:color w:val="0000CC"/>
          <w:szCs w:val="28"/>
          <w:lang w:val="nl-NL"/>
        </w:rPr>
        <w:lastRenderedPageBreak/>
        <w:t>việc lập, thẩm tra, thẩm định chi phí.</w:t>
      </w:r>
    </w:p>
    <w:p w:rsidR="00D32EF5" w:rsidRPr="005114EE" w:rsidRDefault="00D32EF5" w:rsidP="00196027">
      <w:pPr>
        <w:keepNext/>
        <w:widowControl w:val="0"/>
        <w:spacing w:before="120" w:after="0"/>
        <w:rPr>
          <w:i/>
          <w:color w:val="0000CC"/>
          <w:szCs w:val="28"/>
          <w:lang w:val="nl-NL"/>
        </w:rPr>
      </w:pPr>
      <w:r>
        <w:rPr>
          <w:i/>
          <w:color w:val="0000CC"/>
          <w:szCs w:val="28"/>
          <w:lang w:val="nl-NL"/>
        </w:rPr>
        <w:t>+ Khi thực hiện doanh nghiệp phải kê khai toàn bộ nội dung công việc, chi phí, chứng từ liên quan dẫn đến việc kiểm soát chi phí khó khăn và mất nhiều thời gian.</w:t>
      </w:r>
    </w:p>
    <w:p w:rsidR="00D32EF5" w:rsidRPr="00C703DE" w:rsidRDefault="00C05C76" w:rsidP="00196027">
      <w:pPr>
        <w:keepNext/>
        <w:widowControl w:val="0"/>
        <w:spacing w:before="120" w:after="0"/>
        <w:rPr>
          <w:color w:val="0000CC"/>
          <w:szCs w:val="28"/>
          <w:lang w:val="nl-NL"/>
        </w:rPr>
      </w:pPr>
      <w:r w:rsidRPr="00C703DE">
        <w:rPr>
          <w:color w:val="0000CC"/>
          <w:szCs w:val="28"/>
          <w:lang w:val="nl-NL"/>
        </w:rPr>
        <w:t>c)</w:t>
      </w:r>
      <w:r w:rsidR="00DD72AD" w:rsidRPr="00C703DE">
        <w:rPr>
          <w:color w:val="0000CC"/>
          <w:szCs w:val="28"/>
          <w:lang w:val="nl-NL"/>
        </w:rPr>
        <w:t xml:space="preserve"> Lựa chọn phương án:</w:t>
      </w:r>
      <w:r w:rsidR="00A0551D" w:rsidRPr="00C703DE">
        <w:rPr>
          <w:color w:val="0000CC"/>
          <w:szCs w:val="28"/>
          <w:lang w:val="nl-NL"/>
        </w:rPr>
        <w:t xml:space="preserve"> </w:t>
      </w:r>
    </w:p>
    <w:p w:rsidR="00D32EF5" w:rsidRPr="00C703DE" w:rsidRDefault="00D32EF5" w:rsidP="00196027">
      <w:pPr>
        <w:keepNext/>
        <w:widowControl w:val="0"/>
        <w:spacing w:before="120" w:after="0"/>
        <w:rPr>
          <w:color w:val="0000CC"/>
          <w:szCs w:val="28"/>
          <w:lang w:val="nl-NL"/>
        </w:rPr>
      </w:pPr>
      <w:r w:rsidRPr="00C703DE">
        <w:rPr>
          <w:color w:val="0000CC"/>
          <w:szCs w:val="28"/>
          <w:lang w:val="nl-NL"/>
        </w:rPr>
        <w:t xml:space="preserve">- </w:t>
      </w:r>
      <w:r w:rsidR="00A0551D" w:rsidRPr="00C703DE">
        <w:rPr>
          <w:color w:val="0000CC"/>
          <w:szCs w:val="28"/>
          <w:lang w:val="nl-NL"/>
        </w:rPr>
        <w:t>Đề xuất chọn Phương án 1</w:t>
      </w:r>
      <w:r w:rsidRPr="00C703DE">
        <w:rPr>
          <w:color w:val="0000CC"/>
          <w:szCs w:val="28"/>
          <w:lang w:val="nl-NL"/>
        </w:rPr>
        <w:t>.</w:t>
      </w:r>
    </w:p>
    <w:p w:rsidR="00D32EF5" w:rsidRPr="00C703DE" w:rsidRDefault="00D32EF5" w:rsidP="00196027">
      <w:pPr>
        <w:keepNext/>
        <w:widowControl w:val="0"/>
        <w:spacing w:before="120" w:after="0"/>
        <w:rPr>
          <w:color w:val="0000CC"/>
          <w:szCs w:val="28"/>
          <w:lang w:val="nl-NL"/>
        </w:rPr>
      </w:pPr>
      <w:r w:rsidRPr="00C703DE">
        <w:rPr>
          <w:color w:val="0000CC"/>
          <w:szCs w:val="28"/>
          <w:lang w:val="nl-NL"/>
        </w:rPr>
        <w:t>-</w:t>
      </w:r>
      <w:r w:rsidR="00A0551D" w:rsidRPr="00C703DE">
        <w:rPr>
          <w:color w:val="0000CC"/>
          <w:szCs w:val="28"/>
          <w:lang w:val="nl-NL"/>
        </w:rPr>
        <w:t xml:space="preserve"> </w:t>
      </w:r>
      <w:r w:rsidRPr="00C703DE">
        <w:rPr>
          <w:color w:val="0000CC"/>
          <w:szCs w:val="28"/>
          <w:lang w:val="nl-NL"/>
        </w:rPr>
        <w:t>Kiến nghị Tổng công ty ĐSVN</w:t>
      </w:r>
      <w:r w:rsidR="00A0551D" w:rsidRPr="00C703DE">
        <w:rPr>
          <w:color w:val="0000CC"/>
          <w:szCs w:val="28"/>
          <w:lang w:val="nl-NL"/>
        </w:rPr>
        <w:t xml:space="preserve"> </w:t>
      </w:r>
      <w:r w:rsidRPr="00C703DE">
        <w:rPr>
          <w:color w:val="0000CC"/>
          <w:szCs w:val="28"/>
          <w:lang w:val="nl-NL"/>
        </w:rPr>
        <w:t xml:space="preserve">cung cấp số liệu </w:t>
      </w:r>
      <w:r w:rsidR="00A0551D" w:rsidRPr="00C703DE">
        <w:rPr>
          <w:color w:val="0000CC"/>
          <w:szCs w:val="28"/>
          <w:lang w:val="nl-NL"/>
        </w:rPr>
        <w:t xml:space="preserve">tổng hợp và phân tích về chi phí quản lý kết cấu hạ tầng đường sắt do </w:t>
      </w:r>
      <w:r w:rsidRPr="00C703DE">
        <w:rPr>
          <w:color w:val="0000CC"/>
          <w:szCs w:val="28"/>
          <w:lang w:val="nl-NL"/>
        </w:rPr>
        <w:t>mình thực hiện</w:t>
      </w:r>
      <w:r w:rsidR="00A0551D" w:rsidRPr="00C703DE">
        <w:rPr>
          <w:color w:val="0000CC"/>
          <w:szCs w:val="28"/>
          <w:lang w:val="nl-NL"/>
        </w:rPr>
        <w:t xml:space="preserve"> các năm 2016, 2017, 2018 và đề xuất định mức tỷ lệ % phù hợp áp dụng cho năm 2021.</w:t>
      </w:r>
    </w:p>
    <w:p w:rsidR="00634134" w:rsidRPr="00C703DE" w:rsidRDefault="00D32EF5" w:rsidP="00196027">
      <w:pPr>
        <w:keepNext/>
        <w:widowControl w:val="0"/>
        <w:spacing w:before="120" w:after="0"/>
        <w:rPr>
          <w:strike/>
          <w:color w:val="0000CC"/>
          <w:szCs w:val="28"/>
          <w:lang w:val="nl-NL"/>
        </w:rPr>
      </w:pPr>
      <w:r w:rsidRPr="00C703DE">
        <w:rPr>
          <w:color w:val="0000CC"/>
          <w:szCs w:val="28"/>
          <w:lang w:val="nl-NL"/>
        </w:rPr>
        <w:t xml:space="preserve">- </w:t>
      </w:r>
      <w:r w:rsidR="005B02BA" w:rsidRPr="00C703DE">
        <w:rPr>
          <w:color w:val="0000CC"/>
          <w:szCs w:val="28"/>
          <w:lang w:val="nl-NL"/>
        </w:rPr>
        <w:t>Tiếp tục khảo sát, lập định mức tỷ lệ % theo hướng dẫn của Bộ Xây dựng để cập nhật, điều chỉnh cho phù hợp với điều kiện thực tế thực hiện những năm tiếp theo.</w:t>
      </w:r>
    </w:p>
    <w:p w:rsidR="00CD0A10" w:rsidRPr="00DF2C52" w:rsidRDefault="00746B14" w:rsidP="00196027">
      <w:pPr>
        <w:keepNext/>
        <w:widowControl w:val="0"/>
        <w:spacing w:before="120" w:after="0"/>
        <w:rPr>
          <w:b/>
          <w:color w:val="0000CC"/>
          <w:szCs w:val="28"/>
          <w:lang w:val="nl-NL"/>
        </w:rPr>
      </w:pPr>
      <w:r w:rsidRPr="00DF2C52">
        <w:rPr>
          <w:b/>
          <w:color w:val="0000CC"/>
          <w:szCs w:val="28"/>
          <w:lang w:val="nl-NL"/>
        </w:rPr>
        <w:t xml:space="preserve">Điều </w:t>
      </w:r>
      <w:r w:rsidR="00F74A38" w:rsidRPr="00DF2C52">
        <w:rPr>
          <w:b/>
          <w:color w:val="0000CC"/>
          <w:szCs w:val="28"/>
          <w:lang w:val="nl-NL"/>
        </w:rPr>
        <w:t>6</w:t>
      </w:r>
      <w:r w:rsidRPr="00DF2C52">
        <w:rPr>
          <w:b/>
          <w:color w:val="0000CC"/>
          <w:szCs w:val="28"/>
          <w:lang w:val="nl-NL"/>
        </w:rPr>
        <w:t xml:space="preserve">. </w:t>
      </w:r>
      <w:r w:rsidR="00CD0A10" w:rsidRPr="00DF2C52">
        <w:rPr>
          <w:b/>
          <w:color w:val="0000CC"/>
          <w:szCs w:val="28"/>
          <w:lang w:val="nl-NL"/>
        </w:rPr>
        <w:t>Chi phí quản lý công tác đặt hàng</w:t>
      </w:r>
      <w:r w:rsidR="00DF2C52">
        <w:rPr>
          <w:b/>
          <w:color w:val="0000CC"/>
          <w:szCs w:val="28"/>
          <w:lang w:val="nl-NL"/>
        </w:rPr>
        <w:t xml:space="preserve"> và chi phí khác</w:t>
      </w:r>
    </w:p>
    <w:p w:rsidR="00746B14" w:rsidRPr="005114EE" w:rsidRDefault="00746B14" w:rsidP="00196027">
      <w:pPr>
        <w:keepNext/>
        <w:widowControl w:val="0"/>
        <w:spacing w:before="120" w:after="0"/>
        <w:rPr>
          <w:color w:val="0000CC"/>
          <w:szCs w:val="28"/>
          <w:lang w:val="nl-NL"/>
        </w:rPr>
      </w:pPr>
      <w:r w:rsidRPr="005114EE">
        <w:rPr>
          <w:color w:val="0000CC"/>
          <w:szCs w:val="28"/>
          <w:lang w:val="nl-NL"/>
        </w:rPr>
        <w:t>1. Chi phí quản lý công tác đặt hàng.</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a) Chi phí quản lý công tác đặt hàng là chi phí cho công tác quản lý của đơn vị được giao đặt hàng gồm quản lý về phạm vi, kế hoạch công việc; quản lý khối lượng, chất lượng, tiến độ công việc; quản lý chi phí, an toàn, bảo vệ môi trường;</w:t>
      </w:r>
    </w:p>
    <w:p w:rsidR="00C03C24" w:rsidRPr="005114EE" w:rsidRDefault="00C03C24" w:rsidP="00196027">
      <w:pPr>
        <w:keepNext/>
        <w:widowControl w:val="0"/>
        <w:spacing w:before="120" w:after="0"/>
        <w:rPr>
          <w:color w:val="0000CC"/>
          <w:szCs w:val="28"/>
          <w:lang w:val="nl-NL"/>
        </w:rPr>
      </w:pPr>
      <w:r w:rsidRPr="00C03C24">
        <w:rPr>
          <w:color w:val="0000CC"/>
          <w:szCs w:val="28"/>
          <w:lang w:val="nl-NL"/>
        </w:rPr>
        <w:t>b) Chi phí quản lý công tác đặt hàng được xác định trên cơ sở định mức chi phí theo tỷ lệ phần trăm (%) ban hành tại Phụ lục 03 của Thông tư này nhân với tổng kinh phí bảo dưỡng đường sắt quốc gia trong giá dịch vụ sự nghiệp công được phê duyệt.</w:t>
      </w:r>
    </w:p>
    <w:p w:rsidR="00CD0A10" w:rsidRDefault="00746B14" w:rsidP="00196027">
      <w:pPr>
        <w:keepNext/>
        <w:widowControl w:val="0"/>
        <w:spacing w:before="120" w:after="0"/>
        <w:rPr>
          <w:color w:val="0000CC"/>
          <w:szCs w:val="28"/>
          <w:lang w:val="nl-NL"/>
        </w:rPr>
      </w:pPr>
      <w:r w:rsidRPr="005114EE">
        <w:rPr>
          <w:color w:val="0000CC"/>
          <w:szCs w:val="28"/>
          <w:lang w:val="nl-NL"/>
        </w:rPr>
        <w:t>2</w:t>
      </w:r>
      <w:r w:rsidR="00CD0A10" w:rsidRPr="005114EE">
        <w:rPr>
          <w:color w:val="0000CC"/>
          <w:szCs w:val="28"/>
          <w:lang w:val="nl-NL"/>
        </w:rPr>
        <w:t>. Chi phí khác trong công tác bảo trì gồm: Chi phí quan trắc, kiểm định, kiểm tra, thẩm tra, thẩm định, tư vấn lập dự án, tư vấn thiết kế, kiểm toán, quyết toán, tư vấn khác (trong trường hợp công trình thực hiện có yêu cầu hoặc khi cần thiết) của dịch vụ sự nghiệp công được tính riêng cho từng nhiệm vụ cụ thể và thực hiện theo quy định hiện hành.</w:t>
      </w:r>
    </w:p>
    <w:p w:rsidR="00F74A38" w:rsidRPr="00DF2C52" w:rsidRDefault="00F74A38" w:rsidP="00196027">
      <w:pPr>
        <w:keepNext/>
        <w:widowControl w:val="0"/>
        <w:spacing w:before="120" w:after="0"/>
        <w:rPr>
          <w:b/>
          <w:color w:val="0000CC"/>
          <w:szCs w:val="28"/>
          <w:lang w:val="nl-NL"/>
        </w:rPr>
      </w:pPr>
      <w:r w:rsidRPr="00DF2C52">
        <w:rPr>
          <w:b/>
          <w:color w:val="0000CC"/>
          <w:szCs w:val="28"/>
          <w:lang w:val="nl-NL"/>
        </w:rPr>
        <w:t>Điều 7. Chi phí giám sát công tác bảo dưỡng thường xuyên</w:t>
      </w:r>
    </w:p>
    <w:p w:rsidR="00F74A38" w:rsidRPr="005114EE" w:rsidRDefault="00F74A38" w:rsidP="00196027">
      <w:pPr>
        <w:keepNext/>
        <w:widowControl w:val="0"/>
        <w:spacing w:before="120" w:after="0"/>
        <w:rPr>
          <w:color w:val="0000CC"/>
          <w:szCs w:val="28"/>
          <w:lang w:val="nl-NL"/>
        </w:rPr>
      </w:pPr>
      <w:r w:rsidRPr="005114EE">
        <w:rPr>
          <w:color w:val="0000CC"/>
          <w:szCs w:val="28"/>
          <w:lang w:val="nl-NL"/>
        </w:rPr>
        <w:t>Chi phí giám sát công tác bảo dưỡng thường xuyên được xác định trên cơ sở định mức chi phí theo tỷ lệ (%)</w:t>
      </w:r>
      <w:r w:rsidR="00D34413">
        <w:rPr>
          <w:color w:val="0000CC"/>
          <w:szCs w:val="28"/>
          <w:lang w:val="nl-NL"/>
        </w:rPr>
        <w:t xml:space="preserve"> ban hành</w:t>
      </w:r>
      <w:r w:rsidR="00D34413" w:rsidRPr="005114EE">
        <w:rPr>
          <w:color w:val="0000CC"/>
          <w:szCs w:val="28"/>
          <w:lang w:val="nl-NL"/>
        </w:rPr>
        <w:t xml:space="preserve"> </w:t>
      </w:r>
      <w:r w:rsidRPr="005114EE">
        <w:rPr>
          <w:color w:val="0000CC"/>
          <w:szCs w:val="28"/>
          <w:lang w:val="nl-NL"/>
        </w:rPr>
        <w:t>tại Phụ lục 03 của Thông tư này nhân với giá dịch vụ sự nghiệp công được phê duyệt.</w:t>
      </w:r>
    </w:p>
    <w:p w:rsidR="00CD0A10" w:rsidRPr="00DF2C52" w:rsidRDefault="00CD0A10" w:rsidP="00196027">
      <w:pPr>
        <w:keepNext/>
        <w:widowControl w:val="0"/>
        <w:spacing w:before="120" w:after="0"/>
        <w:rPr>
          <w:b/>
          <w:color w:val="0000CC"/>
          <w:szCs w:val="28"/>
          <w:lang w:val="nl-NL"/>
        </w:rPr>
      </w:pPr>
      <w:r w:rsidRPr="00DF2C52">
        <w:rPr>
          <w:b/>
          <w:color w:val="0000CC"/>
          <w:szCs w:val="28"/>
          <w:lang w:val="nl-NL"/>
        </w:rPr>
        <w:t xml:space="preserve">Điều </w:t>
      </w:r>
      <w:r w:rsidR="009B392B" w:rsidRPr="00DF2C52">
        <w:rPr>
          <w:b/>
          <w:color w:val="0000CC"/>
          <w:szCs w:val="28"/>
          <w:lang w:val="nl-NL"/>
        </w:rPr>
        <w:t>8</w:t>
      </w:r>
      <w:r w:rsidRPr="00DF2C52">
        <w:rPr>
          <w:b/>
          <w:color w:val="0000CC"/>
          <w:szCs w:val="28"/>
          <w:lang w:val="nl-NL"/>
        </w:rPr>
        <w:t>. Sử dụng các định mức kinh tế - kỹ thuật</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1. Việc xây dựng giá dịch vụ sự nghiệp công trong lĩnh vực quản lý, bảo trì kết cấu hạ tầng đường sắt quốc gia phải sử dụng hệ thống định mức kinh tế - kỹ thuật do các cơ quan có thẩm quyền ban hành.</w:t>
      </w:r>
    </w:p>
    <w:p w:rsidR="00E772FD" w:rsidRPr="00095239" w:rsidRDefault="00E772FD" w:rsidP="00196027">
      <w:pPr>
        <w:keepNext/>
        <w:widowControl w:val="0"/>
        <w:spacing w:before="120" w:after="0"/>
        <w:rPr>
          <w:rFonts w:eastAsia="Times New Roman"/>
          <w:color w:val="0000CC"/>
          <w:szCs w:val="28"/>
          <w:lang w:val="nl-NL"/>
        </w:rPr>
      </w:pPr>
      <w:r w:rsidRPr="0024452B">
        <w:rPr>
          <w:rFonts w:eastAsia="Times New Roman"/>
          <w:color w:val="0000CC"/>
          <w:szCs w:val="28"/>
          <w:lang w:val="vi-VN"/>
        </w:rPr>
        <w:t xml:space="preserve">2. Trường hợp cần phải xây dựng định mức xây dựng </w:t>
      </w:r>
      <w:r w:rsidR="0024452B" w:rsidRPr="00095239">
        <w:rPr>
          <w:rFonts w:eastAsia="Times New Roman"/>
          <w:color w:val="0000CC"/>
          <w:szCs w:val="28"/>
          <w:lang w:val="nl-NL"/>
        </w:rPr>
        <w:t xml:space="preserve">kinh tế - kỹ thuật </w:t>
      </w:r>
      <w:r w:rsidRPr="0024452B">
        <w:rPr>
          <w:rFonts w:eastAsia="Times New Roman"/>
          <w:color w:val="0000CC"/>
          <w:szCs w:val="28"/>
          <w:lang w:val="vi-VN"/>
        </w:rPr>
        <w:t xml:space="preserve">cho các công việc </w:t>
      </w:r>
      <w:r w:rsidRPr="00095239">
        <w:rPr>
          <w:rFonts w:eastAsia="Times New Roman"/>
          <w:color w:val="0000CC"/>
          <w:szCs w:val="28"/>
          <w:lang w:val="nl-NL"/>
        </w:rPr>
        <w:t>không có trong hệ thống định mức</w:t>
      </w:r>
      <w:r w:rsidRPr="0024452B">
        <w:rPr>
          <w:rFonts w:eastAsia="Times New Roman"/>
          <w:color w:val="0000CC"/>
          <w:szCs w:val="28"/>
          <w:lang w:val="vi-VN"/>
        </w:rPr>
        <w:t xml:space="preserve"> hoặc điều chỉnh các định mức xây dựng đã được công bố để phù hợp với biện pháp thi công, yêu cầu</w:t>
      </w:r>
      <w:r w:rsidRPr="00095239">
        <w:rPr>
          <w:rFonts w:eastAsia="Times New Roman"/>
          <w:color w:val="0000CC"/>
          <w:szCs w:val="28"/>
          <w:lang w:val="nl-NL"/>
        </w:rPr>
        <w:t xml:space="preserve"> về công </w:t>
      </w:r>
      <w:r w:rsidRPr="00095239">
        <w:rPr>
          <w:rFonts w:eastAsia="Times New Roman"/>
          <w:color w:val="0000CC"/>
          <w:szCs w:val="28"/>
          <w:lang w:val="nl-NL"/>
        </w:rPr>
        <w:lastRenderedPageBreak/>
        <w:t>nghệ, kỹ thuật, điều kiện thi công</w:t>
      </w:r>
      <w:r w:rsidRPr="0024452B">
        <w:rPr>
          <w:rFonts w:eastAsia="Times New Roman"/>
          <w:color w:val="0000CC"/>
          <w:szCs w:val="28"/>
          <w:lang w:val="vi-VN"/>
        </w:rPr>
        <w:t xml:space="preserve"> c</w:t>
      </w:r>
      <w:r w:rsidRPr="00095239">
        <w:rPr>
          <w:rFonts w:eastAsia="Times New Roman"/>
          <w:color w:val="0000CC"/>
          <w:szCs w:val="28"/>
          <w:lang w:val="nl-NL"/>
        </w:rPr>
        <w:t>ủa công trình</w:t>
      </w:r>
      <w:r w:rsidRPr="0024452B">
        <w:rPr>
          <w:rFonts w:eastAsia="Times New Roman"/>
          <w:color w:val="0000CC"/>
          <w:szCs w:val="28"/>
          <w:lang w:val="vi-VN"/>
        </w:rPr>
        <w:t xml:space="preserve"> thì</w:t>
      </w:r>
      <w:r w:rsidR="008C6958" w:rsidRPr="00095239">
        <w:rPr>
          <w:rFonts w:eastAsia="Times New Roman"/>
          <w:color w:val="0000CC"/>
          <w:szCs w:val="28"/>
          <w:lang w:val="nl-NL"/>
        </w:rPr>
        <w:t xml:space="preserve"> cơ quan lập giá dịch vụ sự nghiệp công</w:t>
      </w:r>
      <w:r w:rsidRPr="0024452B">
        <w:rPr>
          <w:rFonts w:eastAsia="Times New Roman"/>
          <w:color w:val="0000CC"/>
          <w:szCs w:val="28"/>
          <w:lang w:val="vi-VN"/>
        </w:rPr>
        <w:t xml:space="preserve"> tổ chức xây dựng hoặc điều chỉnh và có thể thuê các tổ chức, cá nhân tư vấn quản lý chi phí đủ điều kiện năng lực theo quy định để xác định định mức mới hoặc điều chỉnh định mức làm cơ sở </w:t>
      </w:r>
      <w:r w:rsidRPr="00095239">
        <w:rPr>
          <w:rFonts w:eastAsia="Times New Roman"/>
          <w:color w:val="0000CC"/>
          <w:szCs w:val="28"/>
          <w:lang w:val="nl-NL"/>
        </w:rPr>
        <w:t xml:space="preserve">trình Bộ Giao thông vận tải </w:t>
      </w:r>
      <w:r w:rsidRPr="0024452B">
        <w:rPr>
          <w:rFonts w:eastAsia="Times New Roman"/>
          <w:color w:val="0000CC"/>
          <w:szCs w:val="28"/>
          <w:lang w:val="vi-VN"/>
        </w:rPr>
        <w:t xml:space="preserve">ban hành </w:t>
      </w:r>
      <w:r w:rsidRPr="00095239">
        <w:rPr>
          <w:rFonts w:eastAsia="Times New Roman"/>
          <w:color w:val="0000CC"/>
          <w:szCs w:val="28"/>
          <w:lang w:val="nl-NL"/>
        </w:rPr>
        <w:t xml:space="preserve">sau khi có ý kiến thống nhất của Bộ Xây dựng </w:t>
      </w:r>
      <w:r w:rsidRPr="0024452B">
        <w:rPr>
          <w:rFonts w:eastAsia="Times New Roman"/>
          <w:color w:val="0000CC"/>
          <w:szCs w:val="28"/>
          <w:lang w:val="vi-VN"/>
        </w:rPr>
        <w:t>để</w:t>
      </w:r>
      <w:r w:rsidRPr="00095239">
        <w:rPr>
          <w:rFonts w:eastAsia="Times New Roman"/>
          <w:color w:val="0000CC"/>
          <w:szCs w:val="28"/>
          <w:lang w:val="nl-NL"/>
        </w:rPr>
        <w:t xml:space="preserve"> xác định </w:t>
      </w:r>
      <w:r w:rsidRPr="0024452B">
        <w:rPr>
          <w:color w:val="0000CC"/>
          <w:szCs w:val="28"/>
          <w:lang w:val="nl-NL"/>
        </w:rPr>
        <w:t>giá dịch vụ sự nghiệp công</w:t>
      </w:r>
      <w:r w:rsidRPr="00095239">
        <w:rPr>
          <w:rFonts w:eastAsia="Times New Roman"/>
          <w:color w:val="0000CC"/>
          <w:szCs w:val="28"/>
          <w:lang w:val="nl-NL"/>
        </w:rPr>
        <w:t>.</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 xml:space="preserve">Điều </w:t>
      </w:r>
      <w:r w:rsidR="009B392B" w:rsidRPr="005114EE">
        <w:rPr>
          <w:b/>
          <w:color w:val="0000CC"/>
          <w:szCs w:val="28"/>
          <w:lang w:val="nl-NL"/>
        </w:rPr>
        <w:t>9</w:t>
      </w:r>
      <w:r w:rsidRPr="005114EE">
        <w:rPr>
          <w:b/>
          <w:color w:val="0000CC"/>
          <w:szCs w:val="28"/>
          <w:lang w:val="nl-NL"/>
        </w:rPr>
        <w:t>. Thẩm quyền quyết định giá</w:t>
      </w:r>
    </w:p>
    <w:p w:rsidR="00CD0A10" w:rsidRPr="005114EE" w:rsidRDefault="00682297" w:rsidP="00196027">
      <w:pPr>
        <w:keepNext/>
        <w:widowControl w:val="0"/>
        <w:spacing w:before="120" w:after="0"/>
        <w:rPr>
          <w:color w:val="0000CC"/>
          <w:szCs w:val="28"/>
          <w:lang w:val="nl-NL"/>
        </w:rPr>
      </w:pPr>
      <w:r w:rsidRPr="005114EE">
        <w:rPr>
          <w:color w:val="0000CC"/>
          <w:szCs w:val="28"/>
          <w:lang w:val="nl-NL"/>
        </w:rPr>
        <w:t>Đ</w:t>
      </w:r>
      <w:r w:rsidR="00CD0A10" w:rsidRPr="005114EE">
        <w:rPr>
          <w:color w:val="0000CC"/>
          <w:szCs w:val="28"/>
          <w:lang w:val="nl-NL"/>
        </w:rPr>
        <w:t>ơn giá</w:t>
      </w:r>
      <w:r w:rsidRPr="005114EE">
        <w:rPr>
          <w:color w:val="0000CC"/>
          <w:szCs w:val="28"/>
          <w:lang w:val="nl-NL"/>
        </w:rPr>
        <w:t>,</w:t>
      </w:r>
      <w:r w:rsidR="00CD0A10" w:rsidRPr="005114EE">
        <w:rPr>
          <w:color w:val="0000CC"/>
          <w:szCs w:val="28"/>
          <w:lang w:val="nl-NL"/>
        </w:rPr>
        <w:t xml:space="preserve"> giá dịch vụ sự nghiệp công trong lĩnh vực quản lý, bảo trì kết cấu hạ tầng đường sắt quốc gia do Bộ Giao thông vận tải quyết định sau khi có ý kiến bằng văn bản của Bộ Tài chính và gửi quyết định giá đến Bộ Tài chính để theo dõi giám sát.</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 xml:space="preserve">Điều </w:t>
      </w:r>
      <w:r w:rsidR="009B392B" w:rsidRPr="005114EE">
        <w:rPr>
          <w:b/>
          <w:color w:val="0000CC"/>
          <w:szCs w:val="28"/>
          <w:lang w:val="nl-NL"/>
        </w:rPr>
        <w:t>10</w:t>
      </w:r>
      <w:r w:rsidRPr="005114EE">
        <w:rPr>
          <w:b/>
          <w:color w:val="0000CC"/>
          <w:szCs w:val="28"/>
          <w:lang w:val="nl-NL"/>
        </w:rPr>
        <w:t>. Thời điểm quyết định giá</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1. Việc quyết định giá dịch vụ sự nghiệp công trong lĩnh vực quản lý, bảo trì kết cấu hạ tầng đường sắt quốc gia được thực hiện sau khi dự toán chi ngân sách nhà nước được Bộ Tài chính giao cho Bộ Giao thông vận tải.</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2. Thời hạn thẩm định và quyết định giá thực hiện theo quy định tại Khoản 2, Điều 9 Nghị định số 177/2013/NĐ-CP ngày 14 tháng 11 năm 2013 của Chính phủ quy định chi tiết và hướng dẫn thi hành một số Điều của Luật Giá và văn bản sửa đổi, bổ sung thay thế (nếu có).</w:t>
      </w:r>
    </w:p>
    <w:p w:rsidR="00E772FD" w:rsidRPr="005114EE" w:rsidRDefault="00E772FD" w:rsidP="00196027">
      <w:pPr>
        <w:keepNext/>
        <w:widowControl w:val="0"/>
        <w:spacing w:before="120" w:after="0"/>
        <w:rPr>
          <w:b/>
          <w:color w:val="0000CC"/>
          <w:szCs w:val="28"/>
          <w:lang w:val="nl-NL"/>
        </w:rPr>
      </w:pPr>
      <w:r w:rsidRPr="005114EE">
        <w:rPr>
          <w:b/>
          <w:color w:val="0000CC"/>
          <w:szCs w:val="28"/>
          <w:lang w:val="nl-NL"/>
        </w:rPr>
        <w:t xml:space="preserve">Điều </w:t>
      </w:r>
      <w:r w:rsidR="009B392B" w:rsidRPr="005114EE">
        <w:rPr>
          <w:b/>
          <w:color w:val="0000CC"/>
          <w:szCs w:val="28"/>
          <w:lang w:val="nl-NL"/>
        </w:rPr>
        <w:t>11</w:t>
      </w:r>
      <w:r w:rsidRPr="005114EE">
        <w:rPr>
          <w:b/>
          <w:color w:val="0000CC"/>
          <w:szCs w:val="28"/>
          <w:lang w:val="nl-NL"/>
        </w:rPr>
        <w:t>. Điều chỉnh giá hợp đồng đặt hàng</w:t>
      </w:r>
    </w:p>
    <w:p w:rsidR="00E772FD" w:rsidRPr="005114EE" w:rsidRDefault="00E772FD" w:rsidP="00196027">
      <w:pPr>
        <w:keepNext/>
        <w:widowControl w:val="0"/>
        <w:spacing w:before="120" w:after="0"/>
        <w:rPr>
          <w:b/>
          <w:color w:val="0000CC"/>
          <w:szCs w:val="28"/>
          <w:lang w:val="nl-NL"/>
        </w:rPr>
      </w:pPr>
      <w:r w:rsidRPr="005114EE">
        <w:rPr>
          <w:color w:val="0000CC"/>
          <w:szCs w:val="28"/>
          <w:lang w:val="nl-NL"/>
        </w:rPr>
        <w:t>Việc điều chỉnh giá hợp đồng đặt hàng thực hiện theo quy định pháp luật hiện hành và phải được Bộ Giao thông vận tải chấp thuận trước khi thực hiện.</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 xml:space="preserve">Điều </w:t>
      </w:r>
      <w:r w:rsidR="009B392B" w:rsidRPr="005114EE">
        <w:rPr>
          <w:b/>
          <w:color w:val="0000CC"/>
          <w:szCs w:val="28"/>
          <w:lang w:val="nl-NL"/>
        </w:rPr>
        <w:t>12</w:t>
      </w:r>
      <w:r w:rsidRPr="005114EE">
        <w:rPr>
          <w:b/>
          <w:color w:val="0000CC"/>
          <w:szCs w:val="28"/>
          <w:lang w:val="nl-NL"/>
        </w:rPr>
        <w:t>. Kiểm tra tình hình thực hiện các quy định về quản lý giá</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1. Việc kiểm tra chấp hành các quy định về quản lý giá dịch vụ sự nghiệp công trong lĩnh vực quản lý, bảo trì kết cấu hạ tầng đường sắt quốc gia thực hiện theo quy định tại Thông tư này và các quy định của pháp luật hiện hành có liên quan.</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2. Các tổ chức, cá nhân có hành vi vi phạm quy định tại Thông tư này, thì tùy theo tính chất, mức độ vi phạm sẽ bị xử phạt hành chính hoặc bị truy cứu trách nhiệm hình sự, nếu gây thiệt hại thì phải bồi thường theo quy định của pháp luật.</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3. Thẩm quyền xử phạt cụ thể, trình tự, thủ tục xử phạt thực hiện theo quy định của pháp luật về xử lý vi phạm hành chính.</w:t>
      </w:r>
    </w:p>
    <w:p w:rsidR="00CD0A10" w:rsidRPr="005114EE" w:rsidRDefault="00CD0A10" w:rsidP="00196027">
      <w:pPr>
        <w:keepNext/>
        <w:widowControl w:val="0"/>
        <w:spacing w:before="120" w:after="0"/>
        <w:rPr>
          <w:b/>
          <w:color w:val="0000CC"/>
          <w:szCs w:val="28"/>
          <w:lang w:val="nl-NL"/>
        </w:rPr>
      </w:pPr>
      <w:r w:rsidRPr="005114EE">
        <w:rPr>
          <w:b/>
          <w:color w:val="0000CC"/>
          <w:szCs w:val="28"/>
          <w:lang w:val="nl-NL"/>
        </w:rPr>
        <w:t xml:space="preserve">Điều </w:t>
      </w:r>
      <w:r w:rsidR="009B392B" w:rsidRPr="005114EE">
        <w:rPr>
          <w:b/>
          <w:color w:val="0000CC"/>
          <w:szCs w:val="28"/>
          <w:lang w:val="nl-NL"/>
        </w:rPr>
        <w:t>13</w:t>
      </w:r>
      <w:r w:rsidRPr="005114EE">
        <w:rPr>
          <w:b/>
          <w:color w:val="0000CC"/>
          <w:szCs w:val="28"/>
          <w:lang w:val="nl-NL"/>
        </w:rPr>
        <w:t>. Tổ chức thực hiện</w:t>
      </w:r>
    </w:p>
    <w:p w:rsidR="00CD0A10" w:rsidRPr="005114EE" w:rsidRDefault="00CD0A10" w:rsidP="00196027">
      <w:pPr>
        <w:keepNext/>
        <w:widowControl w:val="0"/>
        <w:spacing w:before="120" w:after="0"/>
        <w:rPr>
          <w:color w:val="0000CC"/>
          <w:szCs w:val="28"/>
          <w:lang w:val="nl-NL"/>
        </w:rPr>
      </w:pPr>
      <w:r w:rsidRPr="005114EE">
        <w:rPr>
          <w:color w:val="0000CC"/>
          <w:szCs w:val="28"/>
          <w:lang w:val="nl-NL"/>
        </w:rPr>
        <w:t>1. Thông tư này có hiệu lực thi hành từ ngày 01 tháng 6 năm 2020, thay thế Thông tư liên tịch số 09/2016/TTLT-BTC-BGTVT ngày 10 tháng 5 năm 2016 của Bộ Giao thông vận và tải Bộ Tài chính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p w:rsidR="00CD180B" w:rsidRPr="005114EE" w:rsidRDefault="00CD0A10" w:rsidP="00196027">
      <w:pPr>
        <w:keepNext/>
        <w:widowControl w:val="0"/>
        <w:spacing w:before="120" w:after="0"/>
        <w:rPr>
          <w:color w:val="0000CC"/>
          <w:szCs w:val="28"/>
          <w:lang w:val="nl-NL"/>
        </w:rPr>
      </w:pPr>
      <w:r w:rsidRPr="005114EE">
        <w:rPr>
          <w:color w:val="0000CC"/>
          <w:szCs w:val="28"/>
          <w:lang w:val="nl-NL"/>
        </w:rPr>
        <w:lastRenderedPageBreak/>
        <w:t>2. Trong quá trình thực hiện nếu có vướng mắc, đề nghị các cơ quan, đơn vị phản ánh về Bộ Giao thông vận tải để xem xét, giải quyết./.</w:t>
      </w:r>
    </w:p>
    <w:p w:rsidR="000F50E6" w:rsidRPr="005114EE" w:rsidRDefault="000F50E6" w:rsidP="00EB5E4D">
      <w:pPr>
        <w:spacing w:before="60" w:after="0"/>
        <w:rPr>
          <w:color w:val="0000CC"/>
          <w:sz w:val="12"/>
          <w:lang w:val="nl-NL"/>
        </w:rPr>
      </w:pPr>
    </w:p>
    <w:tbl>
      <w:tblPr>
        <w:tblW w:w="9180" w:type="dxa"/>
        <w:tblInd w:w="2" w:type="dxa"/>
        <w:tblCellMar>
          <w:left w:w="0" w:type="dxa"/>
          <w:right w:w="0" w:type="dxa"/>
        </w:tblCellMar>
        <w:tblLook w:val="00A0" w:firstRow="1" w:lastRow="0" w:firstColumn="1" w:lastColumn="0" w:noHBand="0" w:noVBand="0"/>
      </w:tblPr>
      <w:tblGrid>
        <w:gridCol w:w="4786"/>
        <w:gridCol w:w="4394"/>
      </w:tblGrid>
      <w:tr w:rsidR="005114EE" w:rsidRPr="005114EE" w:rsidTr="00712B54">
        <w:tc>
          <w:tcPr>
            <w:tcW w:w="4786" w:type="dxa"/>
            <w:tcMar>
              <w:top w:w="0" w:type="dxa"/>
              <w:left w:w="108" w:type="dxa"/>
              <w:bottom w:w="0" w:type="dxa"/>
              <w:right w:w="108" w:type="dxa"/>
            </w:tcMar>
          </w:tcPr>
          <w:p w:rsidR="000F50E6" w:rsidRPr="005114EE" w:rsidRDefault="000F50E6" w:rsidP="000F50E6">
            <w:pPr>
              <w:spacing w:after="0" w:line="234" w:lineRule="atLeast"/>
              <w:ind w:firstLine="567"/>
              <w:rPr>
                <w:rFonts w:eastAsia="Calibri"/>
                <w:b/>
                <w:bCs/>
                <w:i/>
                <w:iCs/>
                <w:color w:val="0000CC"/>
                <w:sz w:val="22"/>
                <w:lang w:val="vi-VN"/>
              </w:rPr>
            </w:pPr>
            <w:r w:rsidRPr="005114EE">
              <w:rPr>
                <w:rFonts w:eastAsia="Calibri"/>
                <w:b/>
                <w:bCs/>
                <w:i/>
                <w:iCs/>
                <w:color w:val="0000CC"/>
                <w:sz w:val="22"/>
                <w:lang w:val="vi-VN"/>
              </w:rPr>
              <w:t>Nơi nhận:</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Văn phòng Chính phủ;</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Cơ quan thuộc Chính phủ;</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Các Bộ, Cơ quan ngang Bộ;</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UBND các tỉnh, thành phố trực thuộc TW;</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xml:space="preserve">- </w:t>
            </w:r>
            <w:r w:rsidR="009B392B" w:rsidRPr="00095239">
              <w:rPr>
                <w:rFonts w:eastAsia="Calibri"/>
                <w:color w:val="0000CC"/>
                <w:sz w:val="22"/>
                <w:lang w:val="vi-VN"/>
              </w:rPr>
              <w:t>Bộ trưởng, c</w:t>
            </w:r>
            <w:r w:rsidRPr="005114EE">
              <w:rPr>
                <w:rFonts w:eastAsia="Calibri"/>
                <w:color w:val="0000CC"/>
                <w:sz w:val="22"/>
                <w:lang w:val="vi-VN"/>
              </w:rPr>
              <w:t>ác Thứ trưởng Bộ GTVT;</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Cục Kiểm soát TTHC (VPCP);</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Cục Kiểm tra văn bản (Bộ Tư pháp);</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Công báo;</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Cổng Thông tin điện tử Chính phủ;</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Cổng Thông tin điện tử Bộ GTVT;</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Báo Giao thông, Tạp chí GTVT;</w:t>
            </w:r>
          </w:p>
          <w:p w:rsidR="000F50E6" w:rsidRPr="005114EE" w:rsidRDefault="000F50E6" w:rsidP="002D40DE">
            <w:pPr>
              <w:spacing w:after="0"/>
              <w:ind w:firstLine="567"/>
              <w:rPr>
                <w:rFonts w:eastAsia="Calibri"/>
                <w:color w:val="0000CC"/>
                <w:sz w:val="22"/>
                <w:lang w:val="vi-VN"/>
              </w:rPr>
            </w:pPr>
            <w:r w:rsidRPr="005114EE">
              <w:rPr>
                <w:rFonts w:eastAsia="Calibri"/>
                <w:color w:val="0000CC"/>
                <w:sz w:val="22"/>
                <w:lang w:val="vi-VN"/>
              </w:rPr>
              <w:t xml:space="preserve">- Lưu: VT, </w:t>
            </w:r>
            <w:r w:rsidR="00771F23" w:rsidRPr="005114EE">
              <w:rPr>
                <w:rFonts w:eastAsia="Calibri"/>
                <w:color w:val="0000CC"/>
                <w:sz w:val="22"/>
              </w:rPr>
              <w:t>TC</w:t>
            </w:r>
            <w:r w:rsidRPr="005114EE">
              <w:rPr>
                <w:rFonts w:eastAsia="Calibri"/>
                <w:color w:val="0000CC"/>
                <w:sz w:val="22"/>
                <w:lang w:val="vi-VN"/>
              </w:rPr>
              <w:t>.</w:t>
            </w:r>
          </w:p>
        </w:tc>
        <w:tc>
          <w:tcPr>
            <w:tcW w:w="4394" w:type="dxa"/>
            <w:tcMar>
              <w:top w:w="0" w:type="dxa"/>
              <w:left w:w="108" w:type="dxa"/>
              <w:bottom w:w="0" w:type="dxa"/>
              <w:right w:w="108" w:type="dxa"/>
            </w:tcMar>
          </w:tcPr>
          <w:p w:rsidR="000F50E6" w:rsidRPr="005114EE" w:rsidRDefault="00EE1DC0" w:rsidP="000F50E6">
            <w:pPr>
              <w:spacing w:before="120" w:after="0" w:line="234" w:lineRule="atLeast"/>
              <w:ind w:firstLine="0"/>
              <w:jc w:val="center"/>
              <w:rPr>
                <w:rFonts w:eastAsia="Calibri"/>
                <w:b/>
                <w:bCs/>
                <w:color w:val="0000CC"/>
                <w:szCs w:val="28"/>
                <w:lang w:val="vi-VN"/>
              </w:rPr>
            </w:pPr>
            <w:r w:rsidRPr="005114EE">
              <w:rPr>
                <w:rFonts w:eastAsia="Calibri"/>
                <w:b/>
                <w:bCs/>
                <w:color w:val="0000CC"/>
                <w:szCs w:val="28"/>
                <w:lang w:val="vi-VN"/>
              </w:rPr>
              <w:t xml:space="preserve">KT. </w:t>
            </w:r>
            <w:r w:rsidR="000F50E6" w:rsidRPr="005114EE">
              <w:rPr>
                <w:rFonts w:eastAsia="Calibri"/>
                <w:b/>
                <w:bCs/>
                <w:color w:val="0000CC"/>
                <w:szCs w:val="28"/>
                <w:lang w:val="vi-VN"/>
              </w:rPr>
              <w:t>BỘ TRƯỞNG</w:t>
            </w:r>
            <w:r w:rsidR="000F50E6" w:rsidRPr="005114EE">
              <w:rPr>
                <w:rFonts w:eastAsia="Calibri"/>
                <w:b/>
                <w:bCs/>
                <w:color w:val="0000CC"/>
                <w:szCs w:val="28"/>
                <w:lang w:val="vi-VN"/>
              </w:rPr>
              <w:br/>
            </w:r>
            <w:r w:rsidRPr="005114EE">
              <w:rPr>
                <w:rFonts w:eastAsia="Calibri"/>
                <w:b/>
                <w:bCs/>
                <w:color w:val="0000CC"/>
                <w:szCs w:val="28"/>
                <w:lang w:val="vi-VN"/>
              </w:rPr>
              <w:t>THỨ TRƯỞNG</w:t>
            </w:r>
            <w:r w:rsidR="000F50E6" w:rsidRPr="005114EE">
              <w:rPr>
                <w:rFonts w:eastAsia="Calibri"/>
                <w:b/>
                <w:bCs/>
                <w:color w:val="0000CC"/>
                <w:szCs w:val="28"/>
                <w:lang w:val="vi-VN"/>
              </w:rPr>
              <w:br/>
            </w:r>
            <w:r w:rsidR="000F50E6" w:rsidRPr="005114EE">
              <w:rPr>
                <w:rFonts w:eastAsia="Calibri"/>
                <w:b/>
                <w:bCs/>
                <w:color w:val="0000CC"/>
                <w:szCs w:val="28"/>
                <w:lang w:val="vi-VN"/>
              </w:rPr>
              <w:br/>
            </w:r>
          </w:p>
          <w:p w:rsidR="000F50E6" w:rsidRPr="005114EE" w:rsidRDefault="000F50E6" w:rsidP="00EE1DC0">
            <w:pPr>
              <w:spacing w:before="120" w:after="0" w:line="234" w:lineRule="atLeast"/>
              <w:ind w:firstLine="567"/>
              <w:jc w:val="center"/>
              <w:rPr>
                <w:rFonts w:eastAsia="Calibri"/>
                <w:b/>
                <w:bCs/>
                <w:color w:val="0000CC"/>
                <w:sz w:val="22"/>
              </w:rPr>
            </w:pPr>
            <w:r w:rsidRPr="005114EE">
              <w:rPr>
                <w:rFonts w:eastAsia="Calibri"/>
                <w:b/>
                <w:bCs/>
                <w:color w:val="0000CC"/>
                <w:szCs w:val="28"/>
                <w:lang w:val="vi-VN"/>
              </w:rPr>
              <w:br/>
            </w:r>
            <w:r w:rsidRPr="005114EE">
              <w:rPr>
                <w:rFonts w:eastAsia="Calibri"/>
                <w:b/>
                <w:bCs/>
                <w:color w:val="0000CC"/>
                <w:szCs w:val="28"/>
                <w:lang w:val="vi-VN"/>
              </w:rPr>
              <w:br/>
              <w:t xml:space="preserve">Nguyễn </w:t>
            </w:r>
            <w:r w:rsidR="00EE1DC0" w:rsidRPr="005114EE">
              <w:rPr>
                <w:rFonts w:eastAsia="Calibri"/>
                <w:b/>
                <w:bCs/>
                <w:color w:val="0000CC"/>
                <w:szCs w:val="28"/>
              </w:rPr>
              <w:t>Ngọc Đông</w:t>
            </w:r>
          </w:p>
        </w:tc>
      </w:tr>
    </w:tbl>
    <w:p w:rsidR="00564C31" w:rsidRPr="005114EE" w:rsidRDefault="006D1093" w:rsidP="00564C31">
      <w:pPr>
        <w:spacing w:after="0"/>
        <w:ind w:firstLine="0"/>
        <w:jc w:val="center"/>
        <w:rPr>
          <w:b/>
          <w:color w:val="0000CC"/>
          <w:lang w:val="nl-NL"/>
        </w:rPr>
      </w:pPr>
      <w:bookmarkStart w:id="1" w:name="chuong_phuluc_1"/>
      <w:r w:rsidRPr="005114EE">
        <w:rPr>
          <w:b/>
          <w:color w:val="0000CC"/>
          <w:szCs w:val="28"/>
          <w:lang w:val="nl-NL"/>
        </w:rPr>
        <w:br w:type="page"/>
      </w:r>
      <w:r w:rsidR="00564C31" w:rsidRPr="005114EE">
        <w:rPr>
          <w:b/>
          <w:color w:val="0000CC"/>
          <w:lang w:val="nl-NL"/>
        </w:rPr>
        <w:lastRenderedPageBreak/>
        <w:t>PHỤ LỤC SỐ 01</w:t>
      </w:r>
    </w:p>
    <w:p w:rsidR="00C6750C" w:rsidRPr="005114EE" w:rsidRDefault="00564C31" w:rsidP="00564C31">
      <w:pPr>
        <w:spacing w:after="0"/>
        <w:ind w:firstLine="0"/>
        <w:jc w:val="center"/>
        <w:rPr>
          <w:b/>
          <w:color w:val="0000CC"/>
          <w:lang w:val="nl-NL"/>
        </w:rPr>
      </w:pPr>
      <w:r w:rsidRPr="005114EE">
        <w:rPr>
          <w:b/>
          <w:color w:val="0000CC"/>
          <w:lang w:val="nl-NL"/>
        </w:rPr>
        <w:t>Kết cấu giá dịch vụ sự nghiệp công trong</w:t>
      </w:r>
      <w:r w:rsidR="00E662D2" w:rsidRPr="005114EE">
        <w:rPr>
          <w:b/>
          <w:color w:val="0000CC"/>
          <w:lang w:val="nl-NL"/>
        </w:rPr>
        <w:t xml:space="preserve"> công tác bảo dưỡng</w:t>
      </w:r>
      <w:r w:rsidRPr="005114EE">
        <w:rPr>
          <w:b/>
          <w:color w:val="0000CC"/>
          <w:lang w:val="nl-NL"/>
        </w:rPr>
        <w:t xml:space="preserve"> </w:t>
      </w:r>
    </w:p>
    <w:p w:rsidR="00564C31" w:rsidRPr="005114EE" w:rsidRDefault="00564C31" w:rsidP="00564C31">
      <w:pPr>
        <w:spacing w:after="0"/>
        <w:ind w:firstLine="0"/>
        <w:jc w:val="center"/>
        <w:rPr>
          <w:b/>
          <w:color w:val="0000CC"/>
          <w:lang w:val="nl-NL"/>
        </w:rPr>
      </w:pPr>
      <w:r w:rsidRPr="005114EE">
        <w:rPr>
          <w:b/>
          <w:color w:val="0000CC"/>
          <w:lang w:val="nl-NL"/>
        </w:rPr>
        <w:t>kết cấu hạ tầng đường sắt quốc gia</w:t>
      </w:r>
    </w:p>
    <w:p w:rsidR="00564C31" w:rsidRPr="005114EE" w:rsidRDefault="00564C31" w:rsidP="00564C31">
      <w:pPr>
        <w:spacing w:after="0"/>
        <w:ind w:firstLine="0"/>
        <w:jc w:val="center"/>
        <w:rPr>
          <w:i/>
          <w:color w:val="0000CC"/>
          <w:lang w:val="nl-NL"/>
        </w:rPr>
      </w:pPr>
      <w:r w:rsidRPr="005114EE">
        <w:rPr>
          <w:i/>
          <w:color w:val="0000CC"/>
          <w:lang w:val="nl-NL"/>
        </w:rPr>
        <w:t xml:space="preserve">(Ban hành kèm theo Thông tư số           /2020/TT-BGTVT ngày      /   /2020 </w:t>
      </w:r>
    </w:p>
    <w:p w:rsidR="00564C31" w:rsidRPr="005114EE" w:rsidRDefault="00564C31" w:rsidP="00564C31">
      <w:pPr>
        <w:spacing w:after="0"/>
        <w:ind w:firstLine="0"/>
        <w:jc w:val="center"/>
        <w:rPr>
          <w:i/>
          <w:color w:val="0000CC"/>
          <w:lang w:val="nl-NL"/>
        </w:rPr>
      </w:pPr>
      <w:r w:rsidRPr="005114EE">
        <w:rPr>
          <w:i/>
          <w:color w:val="0000CC"/>
          <w:lang w:val="nl-NL"/>
        </w:rPr>
        <w:t>của Bộ trưởng Bộ Giao thông vận tải)</w:t>
      </w:r>
    </w:p>
    <w:p w:rsidR="00564C31" w:rsidRPr="005114EE" w:rsidRDefault="00564C31" w:rsidP="00564C31">
      <w:pPr>
        <w:spacing w:after="0"/>
        <w:ind w:firstLine="0"/>
        <w:rPr>
          <w:color w:val="0000CC"/>
          <w:lang w:val="nl-NL"/>
        </w:rPr>
      </w:pPr>
      <w:r w:rsidRPr="005114EE">
        <w:rPr>
          <w:color w:val="0000CC"/>
          <w:lang w:val="nl-NL"/>
        </w:rPr>
        <w:t>Tên công trình: ..............................................</w:t>
      </w:r>
    </w:p>
    <w:p w:rsidR="00564C31" w:rsidRPr="005114EE" w:rsidRDefault="00564C31" w:rsidP="00564C31">
      <w:pPr>
        <w:spacing w:after="0"/>
        <w:ind w:firstLine="0"/>
        <w:rPr>
          <w:color w:val="0000CC"/>
          <w:lang w:val="nl-NL"/>
        </w:rPr>
      </w:pPr>
      <w:r w:rsidRPr="005114EE">
        <w:rPr>
          <w:color w:val="0000CC"/>
          <w:lang w:val="nl-NL"/>
        </w:rPr>
        <w:t>Thời điểm lập: ...............................................</w:t>
      </w:r>
    </w:p>
    <w:p w:rsidR="009B392B" w:rsidRPr="00984929" w:rsidRDefault="009B392B" w:rsidP="00564C31">
      <w:pPr>
        <w:spacing w:after="0"/>
        <w:ind w:firstLine="0"/>
        <w:rPr>
          <w:color w:val="0000CC"/>
          <w:sz w:val="16"/>
          <w:lang w:val="nl-NL"/>
        </w:rPr>
      </w:pPr>
    </w:p>
    <w:tbl>
      <w:tblPr>
        <w:tblW w:w="10062" w:type="dxa"/>
        <w:tblInd w:w="-704" w:type="dxa"/>
        <w:tblCellMar>
          <w:left w:w="0" w:type="dxa"/>
          <w:right w:w="0" w:type="dxa"/>
        </w:tblCellMar>
        <w:tblLook w:val="0000" w:firstRow="0" w:lastRow="0" w:firstColumn="0" w:lastColumn="0" w:noHBand="0" w:noVBand="0"/>
      </w:tblPr>
      <w:tblGrid>
        <w:gridCol w:w="586"/>
        <w:gridCol w:w="3101"/>
        <w:gridCol w:w="3260"/>
        <w:gridCol w:w="1702"/>
        <w:gridCol w:w="1413"/>
      </w:tblGrid>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b/>
                <w:color w:val="0000CC"/>
                <w:sz w:val="26"/>
                <w:szCs w:val="26"/>
              </w:rPr>
            </w:pPr>
            <w:r w:rsidRPr="005114EE">
              <w:rPr>
                <w:b/>
                <w:color w:val="0000CC"/>
                <w:sz w:val="26"/>
                <w:szCs w:val="26"/>
              </w:rPr>
              <w:t>TT</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b/>
                <w:color w:val="0000CC"/>
                <w:sz w:val="26"/>
                <w:szCs w:val="26"/>
              </w:rPr>
            </w:pPr>
            <w:r w:rsidRPr="005114EE">
              <w:rPr>
                <w:b/>
                <w:color w:val="0000CC"/>
                <w:sz w:val="26"/>
                <w:szCs w:val="26"/>
              </w:rPr>
              <w:t>Nội dung</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firstLine="0"/>
              <w:jc w:val="center"/>
              <w:rPr>
                <w:b/>
                <w:color w:val="0000CC"/>
                <w:sz w:val="26"/>
                <w:szCs w:val="26"/>
              </w:rPr>
            </w:pPr>
            <w:r w:rsidRPr="005114EE">
              <w:rPr>
                <w:b/>
                <w:color w:val="0000CC"/>
                <w:sz w:val="26"/>
                <w:szCs w:val="26"/>
              </w:rPr>
              <w:t>Cách tính</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hanging="1"/>
              <w:jc w:val="center"/>
              <w:rPr>
                <w:b/>
                <w:color w:val="0000CC"/>
                <w:sz w:val="26"/>
                <w:szCs w:val="26"/>
              </w:rPr>
            </w:pPr>
            <w:r w:rsidRPr="005114EE">
              <w:rPr>
                <w:b/>
                <w:color w:val="0000CC"/>
                <w:sz w:val="26"/>
                <w:szCs w:val="26"/>
              </w:rPr>
              <w:t>Giá trị</w:t>
            </w: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hanging="1"/>
              <w:jc w:val="center"/>
              <w:rPr>
                <w:b/>
                <w:color w:val="0000CC"/>
                <w:sz w:val="26"/>
                <w:szCs w:val="26"/>
              </w:rPr>
            </w:pPr>
            <w:r w:rsidRPr="005114EE">
              <w:rPr>
                <w:b/>
                <w:color w:val="0000CC"/>
                <w:sz w:val="26"/>
                <w:szCs w:val="26"/>
              </w:rPr>
              <w:t>Ký hiệu</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I</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CHI PHÍ TRỰC TIẾP</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position w:val="-30"/>
                <w:sz w:val="26"/>
                <w:szCs w:val="26"/>
              </w:rPr>
            </w:pP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position w:val="-30"/>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position w:val="-30"/>
                <w:sz w:val="26"/>
                <w:szCs w:val="26"/>
              </w:rPr>
            </w:pP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1</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Chi phí nguyên, vật liệu, năng lượng</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position w:val="-30"/>
                <w:sz w:val="26"/>
                <w:szCs w:val="26"/>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35.4pt" o:ole="">
                  <v:imagedata r:id="rId7" o:title=""/>
                </v:shape>
                <o:OLEObject Type="Embed" ProgID="Equation.3" ShapeID="_x0000_i1025" DrawAspect="Content" ObjectID="_1647687026" r:id="rId8"/>
              </w:objec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position w:val="-30"/>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VL</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2</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Chi phí nhân công</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position w:val="-30"/>
                <w:sz w:val="26"/>
                <w:szCs w:val="26"/>
              </w:rPr>
              <w:object w:dxaOrig="1760" w:dyaOrig="700">
                <v:shape id="_x0000_i1026" type="#_x0000_t75" style="width:87.6pt;height:35.4pt" o:ole="">
                  <v:imagedata r:id="rId9" o:title=""/>
                </v:shape>
                <o:OLEObject Type="Embed" ProgID="Equation.3" ShapeID="_x0000_i1026" DrawAspect="Content" ObjectID="_1647687027" r:id="rId10"/>
              </w:objec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NC</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3</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Chi phí máy và thiết bị thi công</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i/>
                <w:color w:val="0000CC"/>
                <w:sz w:val="26"/>
                <w:szCs w:val="26"/>
              </w:rPr>
            </w:pPr>
            <w:r w:rsidRPr="005114EE">
              <w:rPr>
                <w:i/>
                <w:color w:val="0000CC"/>
                <w:position w:val="-30"/>
                <w:sz w:val="26"/>
                <w:szCs w:val="26"/>
              </w:rPr>
              <w:object w:dxaOrig="1719" w:dyaOrig="700">
                <v:shape id="_x0000_i1027" type="#_x0000_t75" style="width:85.8pt;height:35.4pt" o:ole="">
                  <v:imagedata r:id="rId11" o:title=""/>
                </v:shape>
                <o:OLEObject Type="Embed" ProgID="Equation.3" ShapeID="_x0000_i1027" DrawAspect="Content" ObjectID="_1647687028" r:id="rId12"/>
              </w:objec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i/>
                <w:color w:val="0000CC"/>
                <w:position w:val="-30"/>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M</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b/>
                <w:color w:val="0000CC"/>
                <w:sz w:val="26"/>
                <w:szCs w:val="26"/>
              </w:rPr>
            </w:pPr>
            <w:r w:rsidRPr="005114EE">
              <w:rPr>
                <w:b/>
                <w:color w:val="0000CC"/>
                <w:sz w:val="26"/>
                <w:szCs w:val="26"/>
              </w:rPr>
              <w:t>Cộng chi phí trực tiếp</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b/>
                <w:color w:val="0000CC"/>
                <w:sz w:val="26"/>
                <w:szCs w:val="26"/>
              </w:rPr>
            </w:pPr>
            <w:r w:rsidRPr="005114EE">
              <w:rPr>
                <w:b/>
                <w:color w:val="0000CC"/>
                <w:sz w:val="26"/>
                <w:szCs w:val="26"/>
              </w:rPr>
              <w:t>VL+NC+M</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b/>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b/>
                <w:color w:val="0000CC"/>
                <w:sz w:val="26"/>
                <w:szCs w:val="26"/>
              </w:rPr>
            </w:pPr>
            <w:r w:rsidRPr="005114EE">
              <w:rPr>
                <w:b/>
                <w:color w:val="0000CC"/>
                <w:sz w:val="26"/>
                <w:szCs w:val="26"/>
              </w:rPr>
              <w:t>T</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II</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CHI PHÍ GIÁN TIẾP</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1</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Chi phí chung</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E662D2" w:rsidP="00564C31">
            <w:pPr>
              <w:spacing w:after="0"/>
              <w:ind w:left="126" w:right="144" w:firstLine="0"/>
              <w:jc w:val="center"/>
              <w:rPr>
                <w:color w:val="0000CC"/>
                <w:sz w:val="26"/>
                <w:szCs w:val="26"/>
              </w:rPr>
            </w:pPr>
            <w:r w:rsidRPr="005114EE">
              <w:rPr>
                <w:color w:val="0000CC"/>
                <w:sz w:val="26"/>
                <w:szCs w:val="26"/>
              </w:rPr>
              <w:t>NC x tỷ lệ</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C</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A05C13" w:rsidP="00564C31">
            <w:pPr>
              <w:spacing w:after="0"/>
              <w:ind w:firstLine="0"/>
              <w:jc w:val="center"/>
              <w:rPr>
                <w:color w:val="0000CC"/>
                <w:sz w:val="26"/>
                <w:szCs w:val="26"/>
              </w:rPr>
            </w:pPr>
            <w:r w:rsidRPr="005114EE">
              <w:rPr>
                <w:color w:val="0000CC"/>
                <w:sz w:val="26"/>
                <w:szCs w:val="26"/>
              </w:rPr>
              <w:t>2</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A05C13" w:rsidP="00A05C13">
            <w:pPr>
              <w:spacing w:after="0"/>
              <w:ind w:left="126" w:right="144" w:firstLine="0"/>
              <w:rPr>
                <w:color w:val="0000CC"/>
                <w:sz w:val="26"/>
                <w:szCs w:val="26"/>
              </w:rPr>
            </w:pPr>
            <w:r w:rsidRPr="005114EE">
              <w:rPr>
                <w:color w:val="0000CC"/>
                <w:sz w:val="26"/>
                <w:szCs w:val="26"/>
              </w:rPr>
              <w:t>Chi phí một số công việc chưa tính đủ khi thực hiện bảo dưỡng công trình</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sz w:val="26"/>
                <w:szCs w:val="26"/>
              </w:rPr>
              <w:t>T x 1%</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TT</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b/>
                <w:color w:val="0000CC"/>
                <w:sz w:val="26"/>
                <w:szCs w:val="26"/>
              </w:rPr>
            </w:pPr>
            <w:r w:rsidRPr="005114EE">
              <w:rPr>
                <w:b/>
                <w:color w:val="0000CC"/>
                <w:sz w:val="26"/>
                <w:szCs w:val="26"/>
              </w:rPr>
              <w:t>Cộng chi phí gián tiếp</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b/>
                <w:color w:val="0000CC"/>
                <w:sz w:val="26"/>
                <w:szCs w:val="26"/>
              </w:rPr>
            </w:pPr>
            <w:r w:rsidRPr="005114EE">
              <w:rPr>
                <w:b/>
                <w:color w:val="0000CC"/>
                <w:sz w:val="26"/>
                <w:szCs w:val="26"/>
              </w:rPr>
              <w:t>GT</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III</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THU NHẬP CHỊU THUẾ TÍNH TRƯỚC</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sz w:val="26"/>
                <w:szCs w:val="26"/>
              </w:rPr>
              <w:t>(T+GT) x 6%</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TL</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b/>
                <w:color w:val="0000CC"/>
                <w:sz w:val="26"/>
                <w:szCs w:val="26"/>
                <w:lang w:val="nl-NL"/>
              </w:rPr>
              <w:t>Giá dịch vụ sự nghiệp công trước thuế</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sz w:val="26"/>
                <w:szCs w:val="26"/>
              </w:rPr>
              <w:t>(TT + GT + TL)</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vertAlign w:val="superscript"/>
              </w:rPr>
            </w:pPr>
            <w:r w:rsidRPr="005114EE">
              <w:rPr>
                <w:color w:val="0000CC"/>
                <w:sz w:val="26"/>
                <w:szCs w:val="26"/>
              </w:rPr>
              <w:t>G</w:t>
            </w:r>
            <w:r w:rsidRPr="005114EE">
              <w:rPr>
                <w:color w:val="0000CC"/>
                <w:sz w:val="26"/>
                <w:szCs w:val="26"/>
                <w:vertAlign w:val="superscript"/>
              </w:rPr>
              <w:t>TT</w:t>
            </w:r>
          </w:p>
        </w:tc>
      </w:tr>
      <w:tr w:rsidR="005114EE" w:rsidRPr="005114EE" w:rsidTr="00564C31">
        <w:tc>
          <w:tcPr>
            <w:tcW w:w="29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firstLine="0"/>
              <w:jc w:val="center"/>
              <w:rPr>
                <w:color w:val="0000CC"/>
                <w:sz w:val="26"/>
                <w:szCs w:val="26"/>
              </w:rPr>
            </w:pPr>
            <w:r w:rsidRPr="005114EE">
              <w:rPr>
                <w:color w:val="0000CC"/>
                <w:sz w:val="26"/>
                <w:szCs w:val="26"/>
              </w:rPr>
              <w:t>IV</w:t>
            </w:r>
          </w:p>
        </w:tc>
        <w:tc>
          <w:tcPr>
            <w:tcW w:w="1541" w:type="pct"/>
            <w:tcBorders>
              <w:top w:val="single" w:sz="4" w:space="0" w:color="auto"/>
              <w:left w:val="single" w:sz="4" w:space="0" w:color="auto"/>
              <w:bottom w:val="nil"/>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color w:val="0000CC"/>
                <w:sz w:val="26"/>
                <w:szCs w:val="26"/>
              </w:rPr>
              <w:t>THUẾ GIÁ TRỊ GIA TĂNG</w:t>
            </w:r>
          </w:p>
        </w:tc>
        <w:tc>
          <w:tcPr>
            <w:tcW w:w="1620"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sz w:val="26"/>
                <w:szCs w:val="26"/>
              </w:rPr>
              <w:t>G</w:t>
            </w:r>
            <w:r w:rsidRPr="005114EE">
              <w:rPr>
                <w:color w:val="0000CC"/>
                <w:sz w:val="26"/>
                <w:szCs w:val="26"/>
                <w:vertAlign w:val="superscript"/>
              </w:rPr>
              <w:t>TT</w:t>
            </w:r>
            <w:r w:rsidRPr="005114EE">
              <w:rPr>
                <w:color w:val="0000CC"/>
                <w:sz w:val="26"/>
                <w:szCs w:val="26"/>
              </w:rPr>
              <w:t xml:space="preserve"> x T</w:t>
            </w:r>
            <w:r w:rsidRPr="005114EE">
              <w:rPr>
                <w:color w:val="0000CC"/>
                <w:sz w:val="26"/>
                <w:szCs w:val="26"/>
                <w:vertAlign w:val="superscript"/>
              </w:rPr>
              <w:t>GTGT</w:t>
            </w:r>
          </w:p>
        </w:tc>
        <w:tc>
          <w:tcPr>
            <w:tcW w:w="846"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nil"/>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GTGT</w:t>
            </w:r>
          </w:p>
        </w:tc>
      </w:tr>
      <w:tr w:rsidR="005114EE" w:rsidRPr="005114EE" w:rsidTr="00564C31">
        <w:tc>
          <w:tcPr>
            <w:tcW w:w="291" w:type="pct"/>
            <w:tcBorders>
              <w:top w:val="single" w:sz="4" w:space="0" w:color="auto"/>
              <w:left w:val="single" w:sz="4" w:space="0" w:color="auto"/>
              <w:bottom w:val="single" w:sz="4" w:space="0" w:color="auto"/>
              <w:right w:val="nil"/>
            </w:tcBorders>
            <w:shd w:val="clear" w:color="auto" w:fill="FFFFFF"/>
            <w:vAlign w:val="center"/>
          </w:tcPr>
          <w:p w:rsidR="00564C31" w:rsidRPr="005114EE" w:rsidRDefault="00564C31" w:rsidP="00564C31">
            <w:pPr>
              <w:spacing w:after="0"/>
              <w:ind w:firstLine="0"/>
              <w:jc w:val="center"/>
              <w:rPr>
                <w:color w:val="0000CC"/>
                <w:sz w:val="26"/>
                <w:szCs w:val="26"/>
              </w:rPr>
            </w:pPr>
          </w:p>
        </w:tc>
        <w:tc>
          <w:tcPr>
            <w:tcW w:w="1541" w:type="pct"/>
            <w:tcBorders>
              <w:top w:val="single" w:sz="4" w:space="0" w:color="auto"/>
              <w:left w:val="single" w:sz="4" w:space="0" w:color="auto"/>
              <w:bottom w:val="single" w:sz="4" w:space="0" w:color="auto"/>
              <w:right w:val="nil"/>
            </w:tcBorders>
            <w:shd w:val="clear" w:color="auto" w:fill="FFFFFF"/>
            <w:vAlign w:val="center"/>
          </w:tcPr>
          <w:p w:rsidR="00564C31" w:rsidRPr="005114EE" w:rsidRDefault="00564C31" w:rsidP="00564C31">
            <w:pPr>
              <w:spacing w:after="0"/>
              <w:ind w:left="126" w:right="144" w:firstLine="0"/>
              <w:rPr>
                <w:color w:val="0000CC"/>
                <w:sz w:val="26"/>
                <w:szCs w:val="26"/>
              </w:rPr>
            </w:pPr>
            <w:r w:rsidRPr="005114EE">
              <w:rPr>
                <w:b/>
                <w:color w:val="0000CC"/>
                <w:sz w:val="26"/>
                <w:szCs w:val="26"/>
                <w:lang w:val="nl-NL"/>
              </w:rPr>
              <w:t>Giá dịch vụ sự nghiệp công sau thuế</w:t>
            </w:r>
          </w:p>
        </w:tc>
        <w:tc>
          <w:tcPr>
            <w:tcW w:w="1620" w:type="pct"/>
            <w:tcBorders>
              <w:top w:val="single" w:sz="4" w:space="0" w:color="auto"/>
              <w:left w:val="single" w:sz="4" w:space="0" w:color="auto"/>
              <w:bottom w:val="single" w:sz="4" w:space="0" w:color="auto"/>
              <w:right w:val="single" w:sz="4" w:space="0" w:color="auto"/>
            </w:tcBorders>
            <w:shd w:val="clear" w:color="auto" w:fill="FFFFFF"/>
            <w:vAlign w:val="center"/>
          </w:tcPr>
          <w:p w:rsidR="00564C31" w:rsidRPr="005114EE" w:rsidRDefault="00564C31" w:rsidP="00564C31">
            <w:pPr>
              <w:spacing w:after="0"/>
              <w:ind w:left="126" w:right="144" w:firstLine="0"/>
              <w:jc w:val="center"/>
              <w:rPr>
                <w:color w:val="0000CC"/>
                <w:sz w:val="26"/>
                <w:szCs w:val="26"/>
              </w:rPr>
            </w:pPr>
            <w:r w:rsidRPr="005114EE">
              <w:rPr>
                <w:color w:val="0000CC"/>
                <w:sz w:val="26"/>
                <w:szCs w:val="26"/>
              </w:rPr>
              <w:t>G</w:t>
            </w:r>
            <w:r w:rsidRPr="005114EE">
              <w:rPr>
                <w:color w:val="0000CC"/>
                <w:sz w:val="26"/>
                <w:szCs w:val="26"/>
                <w:vertAlign w:val="superscript"/>
              </w:rPr>
              <w:t>TT</w:t>
            </w:r>
            <w:r w:rsidRPr="005114EE">
              <w:rPr>
                <w:color w:val="0000CC"/>
                <w:sz w:val="26"/>
                <w:szCs w:val="26"/>
              </w:rPr>
              <w:t xml:space="preserve"> + GTGT</w:t>
            </w: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rsidR="00564C31" w:rsidRPr="005114EE" w:rsidRDefault="00564C31" w:rsidP="00564C31">
            <w:pPr>
              <w:spacing w:after="0"/>
              <w:ind w:left="126" w:right="144" w:hanging="1"/>
              <w:jc w:val="center"/>
              <w:rPr>
                <w:color w:val="0000CC"/>
                <w:sz w:val="26"/>
                <w:szCs w:val="26"/>
              </w:rPr>
            </w:pPr>
            <w:r w:rsidRPr="005114EE">
              <w:rPr>
                <w:color w:val="0000CC"/>
                <w:sz w:val="26"/>
                <w:szCs w:val="26"/>
              </w:rPr>
              <w:t>G</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96027" w:rsidRPr="005114EE" w:rsidTr="00AF5F3E">
        <w:tc>
          <w:tcPr>
            <w:tcW w:w="4644" w:type="dxa"/>
          </w:tcPr>
          <w:p w:rsidR="00564C31" w:rsidRPr="005114EE" w:rsidRDefault="00564C31" w:rsidP="00AF5F3E">
            <w:pPr>
              <w:spacing w:after="120"/>
              <w:jc w:val="center"/>
              <w:rPr>
                <w:b/>
                <w:color w:val="0000CC"/>
              </w:rPr>
            </w:pPr>
            <w:r w:rsidRPr="005114EE">
              <w:rPr>
                <w:b/>
                <w:color w:val="0000CC"/>
              </w:rPr>
              <w:t>Người lập</w:t>
            </w:r>
          </w:p>
          <w:p w:rsidR="00564C31" w:rsidRPr="005114EE" w:rsidRDefault="00564C31" w:rsidP="00AF5F3E">
            <w:pPr>
              <w:spacing w:after="120"/>
              <w:jc w:val="center"/>
              <w:rPr>
                <w:i/>
                <w:color w:val="0000CC"/>
              </w:rPr>
            </w:pPr>
            <w:r w:rsidRPr="005114EE">
              <w:rPr>
                <w:i/>
                <w:color w:val="0000CC"/>
              </w:rPr>
              <w:t>(ký, họ tên)</w:t>
            </w:r>
          </w:p>
        </w:tc>
        <w:tc>
          <w:tcPr>
            <w:tcW w:w="4644" w:type="dxa"/>
          </w:tcPr>
          <w:p w:rsidR="00564C31" w:rsidRPr="005114EE" w:rsidRDefault="00564C31" w:rsidP="00AF5F3E">
            <w:pPr>
              <w:spacing w:after="120"/>
              <w:jc w:val="center"/>
              <w:rPr>
                <w:b/>
                <w:color w:val="0000CC"/>
              </w:rPr>
            </w:pPr>
            <w:r w:rsidRPr="005114EE">
              <w:rPr>
                <w:b/>
                <w:color w:val="0000CC"/>
              </w:rPr>
              <w:t>Người chủ trì</w:t>
            </w:r>
          </w:p>
          <w:p w:rsidR="00564C31" w:rsidRPr="005114EE" w:rsidRDefault="00564C31" w:rsidP="00AF5F3E">
            <w:pPr>
              <w:spacing w:after="120"/>
              <w:jc w:val="center"/>
              <w:rPr>
                <w:i/>
                <w:color w:val="0000CC"/>
              </w:rPr>
            </w:pPr>
            <w:r w:rsidRPr="005114EE">
              <w:rPr>
                <w:i/>
                <w:color w:val="0000CC"/>
              </w:rPr>
              <w:t>(ký, họ tên)</w:t>
            </w:r>
          </w:p>
        </w:tc>
      </w:tr>
    </w:tbl>
    <w:p w:rsidR="00564C31" w:rsidRPr="005114EE" w:rsidRDefault="00564C31" w:rsidP="00564C31">
      <w:pPr>
        <w:rPr>
          <w:color w:val="0000CC"/>
        </w:rPr>
      </w:pPr>
      <w:r w:rsidRPr="005114EE">
        <w:rPr>
          <w:color w:val="0000CC"/>
        </w:rPr>
        <w:t>Trong đó:</w:t>
      </w:r>
    </w:p>
    <w:p w:rsidR="00564C31" w:rsidRPr="005114EE" w:rsidRDefault="00564C31" w:rsidP="00564C31">
      <w:pPr>
        <w:rPr>
          <w:color w:val="0000CC"/>
        </w:rPr>
      </w:pPr>
      <w:r w:rsidRPr="005114EE">
        <w:rPr>
          <w:color w:val="0000CC"/>
        </w:rPr>
        <w:t>- Q</w:t>
      </w:r>
      <w:r w:rsidRPr="005114EE">
        <w:rPr>
          <w:color w:val="0000CC"/>
          <w:vertAlign w:val="subscript"/>
        </w:rPr>
        <w:t>j</w:t>
      </w:r>
      <w:r w:rsidRPr="005114EE">
        <w:rPr>
          <w:color w:val="0000CC"/>
        </w:rPr>
        <w:t xml:space="preserve"> là khối lượng công tác bảo trì thứ j.</w:t>
      </w:r>
    </w:p>
    <w:p w:rsidR="00564C31" w:rsidRPr="005114EE" w:rsidRDefault="00564C31" w:rsidP="00564C31">
      <w:pPr>
        <w:rPr>
          <w:color w:val="0000CC"/>
        </w:rPr>
      </w:pPr>
      <w:r w:rsidRPr="005114EE">
        <w:rPr>
          <w:color w:val="0000CC"/>
        </w:rPr>
        <w:t>- D</w:t>
      </w:r>
      <w:r w:rsidRPr="005114EE">
        <w:rPr>
          <w:color w:val="0000CC"/>
          <w:vertAlign w:val="subscript"/>
        </w:rPr>
        <w:t>j</w:t>
      </w:r>
      <w:r w:rsidRPr="005114EE">
        <w:rPr>
          <w:color w:val="0000CC"/>
          <w:vertAlign w:val="superscript"/>
        </w:rPr>
        <w:t>vl</w:t>
      </w:r>
      <w:r w:rsidRPr="005114EE">
        <w:rPr>
          <w:color w:val="0000CC"/>
        </w:rPr>
        <w:t>, D</w:t>
      </w:r>
      <w:r w:rsidRPr="005114EE">
        <w:rPr>
          <w:color w:val="0000CC"/>
          <w:vertAlign w:val="subscript"/>
        </w:rPr>
        <w:t>j</w:t>
      </w:r>
      <w:r w:rsidRPr="005114EE">
        <w:rPr>
          <w:color w:val="0000CC"/>
          <w:vertAlign w:val="superscript"/>
        </w:rPr>
        <w:t>nc</w:t>
      </w:r>
      <w:r w:rsidRPr="005114EE">
        <w:rPr>
          <w:color w:val="0000CC"/>
        </w:rPr>
        <w:t>, D</w:t>
      </w:r>
      <w:r w:rsidRPr="005114EE">
        <w:rPr>
          <w:color w:val="0000CC"/>
          <w:vertAlign w:val="subscript"/>
        </w:rPr>
        <w:t>j</w:t>
      </w:r>
      <w:r w:rsidRPr="005114EE">
        <w:rPr>
          <w:color w:val="0000CC"/>
          <w:vertAlign w:val="superscript"/>
        </w:rPr>
        <w:t>m</w:t>
      </w:r>
      <w:r w:rsidRPr="005114EE">
        <w:rPr>
          <w:color w:val="0000CC"/>
        </w:rPr>
        <w:t xml:space="preserve"> là chi phí vật liệu, nhân công, máy và thiết bị thi công trong đơn giá xây dựng chi tiết của công trình đối với công tác bảo trì thứ j.</w:t>
      </w:r>
    </w:p>
    <w:p w:rsidR="00564C31" w:rsidRPr="005114EE" w:rsidRDefault="00564C31" w:rsidP="00564C31">
      <w:pPr>
        <w:rPr>
          <w:color w:val="0000CC"/>
        </w:rPr>
      </w:pPr>
      <w:r w:rsidRPr="005114EE">
        <w:rPr>
          <w:color w:val="0000CC"/>
        </w:rPr>
        <w:t>- Chi phí vật liệu (D</w:t>
      </w:r>
      <w:r w:rsidRPr="005114EE">
        <w:rPr>
          <w:color w:val="0000CC"/>
          <w:vertAlign w:val="subscript"/>
        </w:rPr>
        <w:t>j</w:t>
      </w:r>
      <w:r w:rsidRPr="005114EE">
        <w:rPr>
          <w:color w:val="0000CC"/>
          <w:vertAlign w:val="superscript"/>
        </w:rPr>
        <w:t>vl</w:t>
      </w:r>
      <w:r w:rsidRPr="005114EE">
        <w:rPr>
          <w:color w:val="0000CC"/>
        </w:rPr>
        <w:t>), chi phí nhân công (D</w:t>
      </w:r>
      <w:r w:rsidRPr="005114EE">
        <w:rPr>
          <w:color w:val="0000CC"/>
          <w:vertAlign w:val="subscript"/>
        </w:rPr>
        <w:t>j</w:t>
      </w:r>
      <w:r w:rsidRPr="005114EE">
        <w:rPr>
          <w:color w:val="0000CC"/>
          <w:vertAlign w:val="superscript"/>
        </w:rPr>
        <w:t>nc</w:t>
      </w:r>
      <w:r w:rsidRPr="005114EE">
        <w:rPr>
          <w:color w:val="0000CC"/>
        </w:rPr>
        <w:t>), chi phí máy và thiết bị thi công (D</w:t>
      </w:r>
      <w:r w:rsidRPr="005114EE">
        <w:rPr>
          <w:color w:val="0000CC"/>
          <w:vertAlign w:val="subscript"/>
        </w:rPr>
        <w:t>j</w:t>
      </w:r>
      <w:r w:rsidRPr="005114EE">
        <w:rPr>
          <w:color w:val="0000CC"/>
          <w:vertAlign w:val="superscript"/>
        </w:rPr>
        <w:t>m</w:t>
      </w:r>
      <w:r w:rsidRPr="005114EE">
        <w:rPr>
          <w:color w:val="0000CC"/>
        </w:rPr>
        <w:t>) trong đơn giá chi tiết được tính toán và tổng hợp theo Phụ lục số 02 của Thông tư này.</w:t>
      </w:r>
    </w:p>
    <w:p w:rsidR="00564C31" w:rsidRPr="005114EE" w:rsidRDefault="00564C31" w:rsidP="00564C31">
      <w:pPr>
        <w:rPr>
          <w:color w:val="0000CC"/>
        </w:rPr>
      </w:pPr>
      <w:r w:rsidRPr="005114EE">
        <w:rPr>
          <w:color w:val="0000CC"/>
        </w:rPr>
        <w:t>- K</w:t>
      </w:r>
      <w:r w:rsidRPr="005114EE">
        <w:rPr>
          <w:color w:val="0000CC"/>
          <w:vertAlign w:val="subscript"/>
        </w:rPr>
        <w:t>nc</w:t>
      </w:r>
      <w:r w:rsidRPr="005114EE">
        <w:rPr>
          <w:color w:val="0000CC"/>
        </w:rPr>
        <w:t>, K</w:t>
      </w:r>
      <w:r w:rsidRPr="005114EE">
        <w:rPr>
          <w:color w:val="0000CC"/>
          <w:vertAlign w:val="subscript"/>
        </w:rPr>
        <w:t xml:space="preserve">m </w:t>
      </w:r>
      <w:r w:rsidRPr="005114EE">
        <w:rPr>
          <w:color w:val="0000CC"/>
        </w:rPr>
        <w:t>là hệ số điều chỉnh nhân công, hệ số điều chỉnh máy thi công (nếu có).</w:t>
      </w:r>
    </w:p>
    <w:p w:rsidR="00F257C2" w:rsidRDefault="00F257C2">
      <w:pPr>
        <w:rPr>
          <w:b/>
          <w:color w:val="0000CC"/>
          <w:lang w:val="nl-NL"/>
        </w:rPr>
      </w:pPr>
      <w:bookmarkStart w:id="2" w:name="chuong_phuluc_2"/>
      <w:r>
        <w:rPr>
          <w:b/>
          <w:color w:val="0000CC"/>
          <w:lang w:val="nl-NL"/>
        </w:rPr>
        <w:br w:type="page"/>
      </w:r>
    </w:p>
    <w:p w:rsidR="00564C31" w:rsidRPr="005114EE" w:rsidRDefault="00564C31" w:rsidP="00564C31">
      <w:pPr>
        <w:spacing w:after="0"/>
        <w:ind w:firstLine="0"/>
        <w:jc w:val="center"/>
        <w:rPr>
          <w:b/>
          <w:color w:val="0000CC"/>
          <w:lang w:val="nl-NL"/>
        </w:rPr>
      </w:pPr>
      <w:r w:rsidRPr="005114EE">
        <w:rPr>
          <w:b/>
          <w:color w:val="0000CC"/>
          <w:lang w:val="nl-NL"/>
        </w:rPr>
        <w:lastRenderedPageBreak/>
        <w:t>PHỤ LỤC SỐ 02</w:t>
      </w:r>
      <w:bookmarkEnd w:id="2"/>
    </w:p>
    <w:p w:rsidR="00564C31" w:rsidRPr="005114EE" w:rsidRDefault="00564C31" w:rsidP="00564C31">
      <w:pPr>
        <w:spacing w:after="0"/>
        <w:ind w:firstLine="0"/>
        <w:jc w:val="center"/>
        <w:rPr>
          <w:b/>
          <w:color w:val="0000CC"/>
          <w:lang w:val="nl-NL"/>
        </w:rPr>
      </w:pPr>
      <w:bookmarkStart w:id="3" w:name="chuong_phuluc_2_name"/>
      <w:r w:rsidRPr="005114EE">
        <w:rPr>
          <w:b/>
          <w:color w:val="0000CC"/>
          <w:lang w:val="nl-NL"/>
        </w:rPr>
        <w:t xml:space="preserve">Phương pháp xác định giá </w:t>
      </w:r>
      <w:bookmarkEnd w:id="3"/>
      <w:r w:rsidRPr="005114EE">
        <w:rPr>
          <w:b/>
          <w:color w:val="0000CC"/>
          <w:lang w:val="nl-NL"/>
        </w:rPr>
        <w:t xml:space="preserve">dịch vụ sự nghiệp công trong lĩnh vực quản lý, </w:t>
      </w:r>
    </w:p>
    <w:p w:rsidR="00564C31" w:rsidRPr="005114EE" w:rsidRDefault="00564C31" w:rsidP="00564C31">
      <w:pPr>
        <w:spacing w:after="0"/>
        <w:ind w:firstLine="0"/>
        <w:jc w:val="center"/>
        <w:rPr>
          <w:b/>
          <w:color w:val="0000CC"/>
          <w:lang w:val="nl-NL"/>
        </w:rPr>
      </w:pPr>
      <w:r w:rsidRPr="005114EE">
        <w:rPr>
          <w:b/>
          <w:color w:val="0000CC"/>
          <w:lang w:val="nl-NL"/>
        </w:rPr>
        <w:t>bảo trì kết cấu hạ tầng đường sắt quốc gia</w:t>
      </w:r>
    </w:p>
    <w:p w:rsidR="00564C31" w:rsidRPr="005114EE" w:rsidRDefault="00564C31" w:rsidP="00564C31">
      <w:pPr>
        <w:spacing w:after="0"/>
        <w:ind w:firstLine="0"/>
        <w:jc w:val="center"/>
        <w:rPr>
          <w:i/>
          <w:color w:val="0000CC"/>
          <w:lang w:val="nl-NL"/>
        </w:rPr>
      </w:pPr>
      <w:r w:rsidRPr="005114EE">
        <w:rPr>
          <w:i/>
          <w:color w:val="0000CC"/>
          <w:lang w:val="nl-NL"/>
        </w:rPr>
        <w:t xml:space="preserve">(Ban hành kèm theo Thông tư số           /2020/TT-BGTVT ngày      /   /2020 </w:t>
      </w:r>
    </w:p>
    <w:p w:rsidR="00564C31" w:rsidRPr="005114EE" w:rsidRDefault="00564C31" w:rsidP="00564C31">
      <w:pPr>
        <w:spacing w:after="0"/>
        <w:ind w:firstLine="0"/>
        <w:jc w:val="center"/>
        <w:rPr>
          <w:i/>
          <w:color w:val="0000CC"/>
          <w:lang w:val="nl-NL"/>
        </w:rPr>
      </w:pPr>
      <w:r w:rsidRPr="005114EE">
        <w:rPr>
          <w:i/>
          <w:color w:val="0000CC"/>
          <w:lang w:val="nl-NL"/>
        </w:rPr>
        <w:t>của Bộ trưởng Bộ Giao thông vận tải)</w:t>
      </w:r>
    </w:p>
    <w:p w:rsidR="001C2F76" w:rsidRDefault="001C2F76" w:rsidP="00564C31">
      <w:pPr>
        <w:ind w:firstLine="567"/>
        <w:rPr>
          <w:b/>
          <w:color w:val="0000CC"/>
          <w:lang w:val="nl-NL"/>
        </w:rPr>
      </w:pPr>
    </w:p>
    <w:p w:rsidR="00564C31" w:rsidRPr="005114EE" w:rsidRDefault="00564C31" w:rsidP="00564C31">
      <w:pPr>
        <w:ind w:firstLine="567"/>
        <w:rPr>
          <w:b/>
          <w:color w:val="0000CC"/>
          <w:lang w:val="nl-NL"/>
        </w:rPr>
      </w:pPr>
      <w:r w:rsidRPr="005114EE">
        <w:rPr>
          <w:b/>
          <w:color w:val="0000CC"/>
          <w:lang w:val="nl-NL"/>
        </w:rPr>
        <w:t xml:space="preserve">1. Chi phí nguyên, vật liệu, năng lượng </w:t>
      </w:r>
      <w:r w:rsidRPr="005114EE">
        <w:rPr>
          <w:i/>
          <w:color w:val="0000CC"/>
          <w:lang w:val="nl-NL"/>
        </w:rPr>
        <w:t>(sau đây gọi chung là vật liệu)</w:t>
      </w:r>
    </w:p>
    <w:p w:rsidR="00564C31" w:rsidRPr="005114EE" w:rsidRDefault="00564C31" w:rsidP="00564C31">
      <w:pPr>
        <w:ind w:firstLine="567"/>
        <w:rPr>
          <w:color w:val="0000CC"/>
          <w:lang w:val="nl-NL"/>
        </w:rPr>
      </w:pPr>
      <w:r w:rsidRPr="005114EE">
        <w:rPr>
          <w:color w:val="0000CC"/>
          <w:lang w:val="nl-NL"/>
        </w:rPr>
        <w:t>Chi phí vật liệu được xác định theo công thức:</w:t>
      </w:r>
    </w:p>
    <w:p w:rsidR="00564C31" w:rsidRPr="005114EE" w:rsidRDefault="00564C31" w:rsidP="00564C31">
      <w:pPr>
        <w:ind w:firstLine="567"/>
        <w:jc w:val="center"/>
        <w:rPr>
          <w:color w:val="0000CC"/>
          <w:lang w:val="nl-NL"/>
        </w:rPr>
      </w:pPr>
      <w:r w:rsidRPr="005114EE">
        <w:rPr>
          <w:color w:val="0000CC"/>
          <w:lang w:val="nl-NL"/>
        </w:rPr>
        <w:t xml:space="preserve">VL = </w:t>
      </w:r>
      <w:r w:rsidRPr="005114EE">
        <w:rPr>
          <w:color w:val="0000CC"/>
          <w:position w:val="-28"/>
        </w:rPr>
        <w:object w:dxaOrig="2160" w:dyaOrig="680">
          <v:shape id="_x0000_i1028" type="#_x0000_t75" style="width:108.6pt;height:34.2pt" o:ole="">
            <v:imagedata r:id="rId13" o:title=""/>
          </v:shape>
          <o:OLEObject Type="Embed" ProgID="Equation.3" ShapeID="_x0000_i1028" DrawAspect="Content" ObjectID="_1647687029" r:id="rId14"/>
        </w:object>
      </w:r>
    </w:p>
    <w:p w:rsidR="00564C31" w:rsidRPr="005114EE" w:rsidRDefault="00564C31" w:rsidP="00542A98">
      <w:pPr>
        <w:spacing w:before="120" w:after="0"/>
        <w:ind w:firstLine="567"/>
        <w:rPr>
          <w:color w:val="0000CC"/>
          <w:lang w:val="nl-NL"/>
        </w:rPr>
      </w:pPr>
      <w:r w:rsidRPr="005114EE">
        <w:rPr>
          <w:color w:val="0000CC"/>
          <w:lang w:val="nl-NL"/>
        </w:rPr>
        <w:t>Trong đó:</w:t>
      </w:r>
    </w:p>
    <w:p w:rsidR="00564C31" w:rsidRPr="00095239" w:rsidRDefault="00564C31" w:rsidP="00542A98">
      <w:pPr>
        <w:pStyle w:val="BodyText"/>
        <w:shd w:val="clear" w:color="auto" w:fill="auto"/>
        <w:tabs>
          <w:tab w:val="left" w:pos="982"/>
        </w:tabs>
        <w:spacing w:before="120" w:after="0" w:line="240" w:lineRule="auto"/>
        <w:ind w:firstLine="567"/>
        <w:rPr>
          <w:color w:val="0000CC"/>
          <w:sz w:val="28"/>
          <w:szCs w:val="28"/>
          <w:lang w:val="nl-NL"/>
        </w:rPr>
      </w:pPr>
      <w:r w:rsidRPr="00095239">
        <w:rPr>
          <w:color w:val="0000CC"/>
          <w:sz w:val="28"/>
          <w:szCs w:val="28"/>
          <w:lang w:val="nl-NL" w:bidi="en-US"/>
        </w:rPr>
        <w:t>- V</w:t>
      </w:r>
      <w:r w:rsidRPr="00095239">
        <w:rPr>
          <w:color w:val="0000CC"/>
          <w:sz w:val="28"/>
          <w:szCs w:val="28"/>
          <w:vertAlign w:val="subscript"/>
          <w:lang w:val="nl-NL" w:bidi="en-US"/>
        </w:rPr>
        <w:t>i</w:t>
      </w:r>
      <w:r w:rsidRPr="00095239">
        <w:rPr>
          <w:color w:val="0000CC"/>
          <w:sz w:val="28"/>
          <w:szCs w:val="28"/>
          <w:lang w:val="nl-NL" w:bidi="en-US"/>
        </w:rPr>
        <w:t xml:space="preserve">: </w:t>
      </w:r>
      <w:r w:rsidRPr="00095239">
        <w:rPr>
          <w:color w:val="0000CC"/>
          <w:sz w:val="28"/>
          <w:szCs w:val="28"/>
          <w:lang w:val="nl-NL"/>
        </w:rPr>
        <w:t>Lượng vật liệu thứ i (i= 1÷n) tính cho một đơn vị khối lượng công tác bảo trì trong định mức dự toán xây dựng công trình.</w:t>
      </w:r>
    </w:p>
    <w:p w:rsidR="00564C31" w:rsidRPr="00095239" w:rsidRDefault="00564C31" w:rsidP="00542A98">
      <w:pPr>
        <w:pStyle w:val="BodyText"/>
        <w:shd w:val="clear" w:color="auto" w:fill="auto"/>
        <w:tabs>
          <w:tab w:val="left" w:pos="1072"/>
        </w:tabs>
        <w:spacing w:before="120" w:after="0" w:line="240" w:lineRule="auto"/>
        <w:ind w:firstLine="567"/>
        <w:rPr>
          <w:color w:val="0000CC"/>
          <w:sz w:val="28"/>
          <w:szCs w:val="28"/>
          <w:lang w:val="nl-NL"/>
        </w:rPr>
      </w:pPr>
      <w:r w:rsidRPr="00095239">
        <w:rPr>
          <w:color w:val="0000CC"/>
          <w:sz w:val="28"/>
          <w:szCs w:val="28"/>
          <w:lang w:val="nl-NL"/>
        </w:rPr>
        <w:t>- G</w:t>
      </w:r>
      <w:r w:rsidRPr="00095239">
        <w:rPr>
          <w:color w:val="0000CC"/>
          <w:sz w:val="28"/>
          <w:szCs w:val="28"/>
          <w:vertAlign w:val="subscript"/>
          <w:lang w:val="nl-NL"/>
        </w:rPr>
        <w:t>i</w:t>
      </w:r>
      <w:r w:rsidRPr="00095239">
        <w:rPr>
          <w:color w:val="0000CC"/>
          <w:sz w:val="28"/>
          <w:szCs w:val="28"/>
          <w:vertAlign w:val="superscript"/>
          <w:lang w:val="nl-NL"/>
        </w:rPr>
        <w:t>vl</w:t>
      </w:r>
      <w:r w:rsidRPr="00095239">
        <w:rPr>
          <w:color w:val="0000CC"/>
          <w:sz w:val="28"/>
          <w:szCs w:val="28"/>
          <w:lang w:val="nl-NL"/>
        </w:rPr>
        <w:t>: Giá của một đơn vị vật liệu thứ i (i= 1÷n) và phải đảm bảo nguyên tắc:</w:t>
      </w:r>
    </w:p>
    <w:p w:rsidR="00564C31" w:rsidRPr="00095239" w:rsidRDefault="00564C31"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 Phù hợp với tiêu chuẩn kỹ thuật, chất lượng vật liệu, yêu cầu của dự án được quy định theo yêu cầu sử dụng vật liệu của công trình.</w:t>
      </w:r>
    </w:p>
    <w:p w:rsidR="00564C31" w:rsidRPr="00095239" w:rsidRDefault="00564C31"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 Phù hợp với nhu cầu sử dụng vật liệu của công trình về tiến độ, khối lượng cung cấp.</w:t>
      </w:r>
    </w:p>
    <w:p w:rsidR="00564C31" w:rsidRPr="00095239" w:rsidRDefault="00564C31"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bidi="en-US"/>
        </w:rPr>
        <w:t xml:space="preserve">+ Phù </w:t>
      </w:r>
      <w:r w:rsidRPr="00095239">
        <w:rPr>
          <w:color w:val="0000CC"/>
          <w:sz w:val="28"/>
          <w:szCs w:val="28"/>
          <w:lang w:val="nl-NL"/>
        </w:rPr>
        <w:t>hợp với kế hoạch sử dụng vật liệu dự kiến của công trường; thời điểm lập và mặt bằng giá thị trường tại nơi xây dựng công trình và được tính đến hiện trường công trình.</w:t>
      </w:r>
    </w:p>
    <w:p w:rsidR="00564C31" w:rsidRPr="00095239" w:rsidRDefault="00564C31"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 Hệ số tính chi phí vật liệu khác so với tổng chi phí vật liệu chủ yếu xác định định mức dự toán xây dựng công trình.</w:t>
      </w:r>
    </w:p>
    <w:p w:rsidR="00564C31" w:rsidRPr="00095239" w:rsidRDefault="00542A98"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 xml:space="preserve">- </w:t>
      </w:r>
      <w:r w:rsidR="00564C31" w:rsidRPr="00095239">
        <w:rPr>
          <w:color w:val="0000CC"/>
          <w:sz w:val="28"/>
          <w:szCs w:val="28"/>
          <w:lang w:val="nl-NL"/>
        </w:rPr>
        <w:t>Đối với các loại vật liệu có trong thị trường trong nước:</w:t>
      </w:r>
    </w:p>
    <w:p w:rsidR="00564C31" w:rsidRPr="00095239" w:rsidRDefault="00542A98"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bidi="en-US"/>
        </w:rPr>
        <w:t>+</w:t>
      </w:r>
      <w:r w:rsidR="00564C31" w:rsidRPr="00095239">
        <w:rPr>
          <w:color w:val="0000CC"/>
          <w:sz w:val="28"/>
          <w:szCs w:val="28"/>
          <w:lang w:val="nl-NL" w:bidi="en-US"/>
        </w:rPr>
        <w:t xml:space="preserve"> Vật </w:t>
      </w:r>
      <w:r w:rsidR="00564C31" w:rsidRPr="00095239">
        <w:rPr>
          <w:color w:val="0000CC"/>
          <w:sz w:val="28"/>
          <w:szCs w:val="28"/>
          <w:lang w:val="nl-NL"/>
        </w:rPr>
        <w:t>liệu xây dựng được xác định theo công bố giá vật liệu của địa phương đảm bảo phù hợp với các nguyên tắc nêu trên;</w:t>
      </w:r>
    </w:p>
    <w:p w:rsidR="00564C31" w:rsidRPr="00095239" w:rsidRDefault="00542A98"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 Trường hợp</w:t>
      </w:r>
      <w:r w:rsidR="00564C31" w:rsidRPr="00095239">
        <w:rPr>
          <w:color w:val="0000CC"/>
          <w:sz w:val="28"/>
          <w:szCs w:val="28"/>
          <w:lang w:val="nl-NL"/>
        </w:rPr>
        <w:t xml:space="preserve"> giá vật liệu trong công bố giá vật liệu của địa phương không đảm bảo nguyên tắc trên thì giá vật liệu được xác định trên cơ sở:</w:t>
      </w:r>
    </w:p>
    <w:p w:rsidR="00564C31" w:rsidRPr="00095239" w:rsidRDefault="00564C31"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Chỉ chọn mức giá phù hợp giữa các báo giá của nhà sản xuất hoặc nhà cung ứng xây dựng (không áp dụng đối với các loại vật liệu lần đầu xuất hiện trên thị trường chỉ có duy nhất trên thị trường);</w:t>
      </w:r>
    </w:p>
    <w:p w:rsidR="00564C31" w:rsidRPr="00095239" w:rsidRDefault="00564C31" w:rsidP="00542A98">
      <w:pPr>
        <w:pStyle w:val="BodyText"/>
        <w:shd w:val="clear" w:color="auto" w:fill="auto"/>
        <w:spacing w:before="120" w:after="0" w:line="240" w:lineRule="auto"/>
        <w:ind w:firstLine="567"/>
        <w:rPr>
          <w:color w:val="0000CC"/>
          <w:sz w:val="28"/>
          <w:szCs w:val="28"/>
          <w:lang w:val="nl-NL"/>
        </w:rPr>
      </w:pPr>
      <w:r w:rsidRPr="00095239">
        <w:rPr>
          <w:color w:val="0000CC"/>
          <w:sz w:val="28"/>
          <w:szCs w:val="28"/>
          <w:lang w:val="nl-NL"/>
        </w:rPr>
        <w:t>Tham khảo giá của loại vật liệu xây dựng có tiêu chuẩn, chất lượng tương tự đã được sử dụng ở công trình khác.</w:t>
      </w:r>
    </w:p>
    <w:p w:rsidR="00564C31" w:rsidRPr="005114EE" w:rsidRDefault="00564C31" w:rsidP="00542A98">
      <w:pPr>
        <w:pStyle w:val="BodyText"/>
        <w:shd w:val="clear" w:color="auto" w:fill="auto"/>
        <w:spacing w:before="120" w:after="0" w:line="240" w:lineRule="auto"/>
        <w:ind w:firstLine="567"/>
        <w:rPr>
          <w:color w:val="0000CC"/>
          <w:lang w:val="nl-NL"/>
        </w:rPr>
      </w:pPr>
      <w:r w:rsidRPr="00095239">
        <w:rPr>
          <w:color w:val="0000CC"/>
          <w:lang w:val="nl-NL"/>
        </w:rPr>
        <w:t xml:space="preserve">Đối với các loại vật liệu xây dựng phải nhập khẩu (do thị trường trong nước không có) thì giá các loại vật liệu này xác định trên cơ sở lựa chọn mức giá </w:t>
      </w:r>
      <w:r w:rsidRPr="00095239">
        <w:rPr>
          <w:color w:val="0000CC"/>
          <w:lang w:val="nl-NL" w:bidi="en-US"/>
        </w:rPr>
        <w:t xml:space="preserve">thấp nhất đưa ra </w:t>
      </w:r>
      <w:r w:rsidRPr="00095239">
        <w:rPr>
          <w:color w:val="0000CC"/>
          <w:lang w:val="nl-NL"/>
        </w:rPr>
        <w:t>các báo giá của nhà sản xuất hoặc nhà cung ứng vật liệu xây dựng phù hợp chuẩn chất lượng, xuất xứ hàng hóa và mặt bằng giá khu vực. Giá vật liệu được quy đổi ra tiền Việt Nam theo tỷ giá tại thời điểm lập dự toán.</w:t>
      </w:r>
    </w:p>
    <w:p w:rsidR="00564C31" w:rsidRPr="005114EE" w:rsidRDefault="00564C31" w:rsidP="00912177">
      <w:pPr>
        <w:spacing w:before="120" w:after="0"/>
        <w:ind w:firstLine="567"/>
        <w:rPr>
          <w:color w:val="0000CC"/>
          <w:lang w:val="nl-NL"/>
        </w:rPr>
      </w:pPr>
      <w:r w:rsidRPr="005114EE">
        <w:rPr>
          <w:b/>
          <w:color w:val="0000CC"/>
          <w:lang w:val="nl-NL"/>
        </w:rPr>
        <w:lastRenderedPageBreak/>
        <w:t xml:space="preserve">2. Chi phí nhân công: </w:t>
      </w:r>
      <w:r w:rsidRPr="005114EE">
        <w:rPr>
          <w:color w:val="0000CC"/>
          <w:lang w:val="nl-NL"/>
        </w:rPr>
        <w:t>Xác định theo quy định pháp luật hiện hành về tiền lương.</w:t>
      </w:r>
    </w:p>
    <w:p w:rsidR="00564C31" w:rsidRPr="005114EE" w:rsidRDefault="00564C31" w:rsidP="00912177">
      <w:pPr>
        <w:spacing w:before="120" w:after="0"/>
        <w:ind w:firstLine="567"/>
        <w:rPr>
          <w:b/>
          <w:color w:val="0000CC"/>
          <w:lang w:val="nl-NL"/>
        </w:rPr>
      </w:pPr>
      <w:r w:rsidRPr="005114EE">
        <w:rPr>
          <w:b/>
          <w:color w:val="0000CC"/>
          <w:lang w:val="nl-NL"/>
        </w:rPr>
        <w:t>3. Chi phí máy, thiết bị thi công</w:t>
      </w:r>
    </w:p>
    <w:p w:rsidR="00564C31" w:rsidRPr="005114EE" w:rsidRDefault="00564C31" w:rsidP="00912177">
      <w:pPr>
        <w:spacing w:before="120" w:after="0"/>
        <w:ind w:firstLine="567"/>
        <w:rPr>
          <w:color w:val="0000CC"/>
          <w:lang w:val="nl-NL"/>
        </w:rPr>
      </w:pPr>
      <w:r w:rsidRPr="005114EE">
        <w:rPr>
          <w:color w:val="0000CC"/>
          <w:lang w:val="nl-NL"/>
        </w:rPr>
        <w:t>Chi phí máy được xác định bằng công thức sau:</w:t>
      </w:r>
    </w:p>
    <w:p w:rsidR="00564C31" w:rsidRPr="005114EE" w:rsidRDefault="00564C31" w:rsidP="00912177">
      <w:pPr>
        <w:spacing w:before="120" w:after="0"/>
        <w:ind w:firstLine="567"/>
        <w:jc w:val="center"/>
        <w:rPr>
          <w:color w:val="0000CC"/>
          <w:lang w:val="nl-NL"/>
        </w:rPr>
      </w:pPr>
      <w:r w:rsidRPr="005114EE">
        <w:rPr>
          <w:color w:val="0000CC"/>
          <w:lang w:val="nl-NL"/>
        </w:rPr>
        <w:t xml:space="preserve">M = </w:t>
      </w:r>
      <w:r w:rsidRPr="005114EE">
        <w:rPr>
          <w:color w:val="0000CC"/>
          <w:position w:val="-28"/>
        </w:rPr>
        <w:object w:dxaOrig="2320" w:dyaOrig="680">
          <v:shape id="_x0000_i1029" type="#_x0000_t75" style="width:116.4pt;height:34.2pt" o:ole="">
            <v:imagedata r:id="rId15" o:title=""/>
          </v:shape>
          <o:OLEObject Type="Embed" ProgID="Equation.3" ShapeID="_x0000_i1029" DrawAspect="Content" ObjectID="_1647687030" r:id="rId16"/>
        </w:object>
      </w:r>
    </w:p>
    <w:p w:rsidR="00564C31" w:rsidRPr="005114EE" w:rsidRDefault="00564C31" w:rsidP="00912177">
      <w:pPr>
        <w:spacing w:before="120" w:after="0"/>
        <w:ind w:firstLine="567"/>
        <w:rPr>
          <w:color w:val="0000CC"/>
          <w:lang w:val="nl-NL"/>
        </w:rPr>
      </w:pPr>
      <w:r w:rsidRPr="005114EE">
        <w:rPr>
          <w:color w:val="0000CC"/>
          <w:lang w:val="nl-NL"/>
        </w:rPr>
        <w:t>Trong đó:</w:t>
      </w:r>
    </w:p>
    <w:p w:rsidR="00564C31" w:rsidRPr="005114EE" w:rsidRDefault="00564C31" w:rsidP="00912177">
      <w:pPr>
        <w:spacing w:before="120" w:after="0"/>
        <w:ind w:firstLine="567"/>
        <w:rPr>
          <w:color w:val="0000CC"/>
          <w:lang w:val="nl-NL"/>
        </w:rPr>
      </w:pPr>
      <w:r w:rsidRPr="005114EE">
        <w:rPr>
          <w:color w:val="0000CC"/>
          <w:lang w:val="nl-NL"/>
        </w:rPr>
        <w:t>- M</w:t>
      </w:r>
      <w:r w:rsidRPr="005114EE">
        <w:rPr>
          <w:color w:val="0000CC"/>
          <w:vertAlign w:val="subscript"/>
          <w:lang w:val="nl-NL"/>
        </w:rPr>
        <w:t>i</w:t>
      </w:r>
      <w:r w:rsidRPr="005114EE">
        <w:rPr>
          <w:color w:val="0000CC"/>
          <w:lang w:val="nl-NL"/>
        </w:rPr>
        <w:t>: Lượng hao phí ca máy của loại máy, thiết bị thi công chính thứ i (i=1</w:t>
      </w:r>
      <w:r w:rsidRPr="005114EE">
        <w:rPr>
          <w:color w:val="0000CC"/>
        </w:rPr>
        <w:sym w:font="Symbol" w:char="F0B8"/>
      </w:r>
      <w:r w:rsidRPr="005114EE">
        <w:rPr>
          <w:color w:val="0000CC"/>
          <w:lang w:val="nl-NL"/>
        </w:rPr>
        <w:t>n) tính cho một khối lượng công việc quy định trong định mức kinh tế kỹ thuật.</w:t>
      </w:r>
    </w:p>
    <w:p w:rsidR="00564C31" w:rsidRPr="005114EE" w:rsidRDefault="00564C31" w:rsidP="00912177">
      <w:pPr>
        <w:spacing w:before="120" w:after="0"/>
        <w:ind w:firstLine="567"/>
        <w:rPr>
          <w:color w:val="0000CC"/>
          <w:lang w:val="nl-NL"/>
        </w:rPr>
      </w:pPr>
      <w:r w:rsidRPr="005114EE">
        <w:rPr>
          <w:color w:val="0000CC"/>
          <w:lang w:val="nl-NL"/>
        </w:rPr>
        <w:t>- g</w:t>
      </w:r>
      <w:r w:rsidRPr="005114EE">
        <w:rPr>
          <w:color w:val="0000CC"/>
          <w:vertAlign w:val="subscript"/>
          <w:lang w:val="nl-NL"/>
        </w:rPr>
        <w:t>i</w:t>
      </w:r>
      <w:r w:rsidRPr="005114EE">
        <w:rPr>
          <w:color w:val="0000CC"/>
          <w:vertAlign w:val="superscript"/>
          <w:lang w:val="nl-NL"/>
        </w:rPr>
        <w:t>MTC</w:t>
      </w:r>
      <w:r w:rsidRPr="005114EE">
        <w:rPr>
          <w:color w:val="0000CC"/>
          <w:lang w:val="nl-NL"/>
        </w:rPr>
        <w:t>: Giá ca máy của loại máy, thiết bị thi công thứ i (i=1</w:t>
      </w:r>
      <w:r w:rsidRPr="005114EE">
        <w:rPr>
          <w:color w:val="0000CC"/>
        </w:rPr>
        <w:sym w:font="Symbol" w:char="F0B8"/>
      </w:r>
      <w:r w:rsidRPr="005114EE">
        <w:rPr>
          <w:color w:val="0000CC"/>
          <w:lang w:val="nl-NL"/>
        </w:rPr>
        <w:t>n) theo bảng giá ca máy và thiết bị thi công của công trình hoặc giá thuê máy xác định theo hướng dẫn của Bộ Xây dựng.</w:t>
      </w:r>
    </w:p>
    <w:p w:rsidR="00564C31" w:rsidRPr="005114EE" w:rsidRDefault="00564C31" w:rsidP="00912177">
      <w:pPr>
        <w:spacing w:before="120" w:after="0"/>
        <w:ind w:firstLine="567"/>
        <w:rPr>
          <w:color w:val="0000CC"/>
          <w:lang w:val="nl-NL"/>
        </w:rPr>
      </w:pPr>
      <w:r w:rsidRPr="005114EE">
        <w:rPr>
          <w:color w:val="0000CC"/>
          <w:lang w:val="nl-NL"/>
        </w:rPr>
        <w:t>- K</w:t>
      </w:r>
      <w:r w:rsidRPr="005114EE">
        <w:rPr>
          <w:color w:val="0000CC"/>
          <w:vertAlign w:val="superscript"/>
          <w:lang w:val="nl-NL"/>
        </w:rPr>
        <w:t>MTC</w:t>
      </w:r>
      <w:r w:rsidRPr="005114EE">
        <w:rPr>
          <w:color w:val="0000CC"/>
          <w:lang w:val="nl-NL"/>
        </w:rPr>
        <w:t>: Hệ số tính chi phí máy khác (nếu có) so với tổng chi phí máy, thiết bị chính quy định trong định mức kinh tế kỹ thuật.</w:t>
      </w:r>
    </w:p>
    <w:p w:rsidR="00564C31" w:rsidRPr="005114EE" w:rsidRDefault="00564C31" w:rsidP="00912177">
      <w:pPr>
        <w:spacing w:before="120" w:after="0"/>
        <w:ind w:firstLine="567"/>
        <w:rPr>
          <w:color w:val="0000CC"/>
          <w:lang w:val="nl-NL"/>
        </w:rPr>
      </w:pPr>
      <w:r w:rsidRPr="005114EE">
        <w:rPr>
          <w:color w:val="0000CC"/>
          <w:lang w:val="nl-NL"/>
        </w:rPr>
        <w:t>- Giá ca máy sử dụng để tính toán là giá chưa bao gồm thuế giá trị tăng.</w:t>
      </w:r>
    </w:p>
    <w:p w:rsidR="00564C31" w:rsidRPr="005114EE" w:rsidRDefault="00564C31" w:rsidP="00912177">
      <w:pPr>
        <w:spacing w:before="120" w:after="0"/>
        <w:ind w:firstLine="567"/>
        <w:rPr>
          <w:b/>
          <w:color w:val="0000CC"/>
          <w:lang w:val="nl-NL"/>
        </w:rPr>
      </w:pPr>
      <w:r w:rsidRPr="005114EE">
        <w:rPr>
          <w:b/>
          <w:color w:val="0000CC"/>
          <w:lang w:val="nl-NL"/>
        </w:rPr>
        <w:t>4. Chi phí chung</w:t>
      </w:r>
    </w:p>
    <w:p w:rsidR="00564C31" w:rsidRPr="005114EE" w:rsidRDefault="00564C31" w:rsidP="00912177">
      <w:pPr>
        <w:spacing w:before="120" w:after="0"/>
        <w:ind w:firstLine="567"/>
        <w:rPr>
          <w:color w:val="0000CC"/>
          <w:lang w:val="nl-NL"/>
        </w:rPr>
      </w:pPr>
      <w:r w:rsidRPr="005114EE">
        <w:rPr>
          <w:color w:val="0000CC"/>
          <w:lang w:val="nl-NL"/>
        </w:rPr>
        <w:t xml:space="preserve">a) Chi phí chung là khoản chi phí của nhà thầu, đơn vị được đặt hàng, giao nhiệm vụ (không bao gồm chi phí quản lý của cơ quan được giao nhiệm vụ quản lý đặt hàng, giao kế hoạch sản phẩm, dịch vụ công ích trong lĩnh vực quản lý, bảo trì đường sắt quốc gia, bao gồm: chi phí tiền lương và các khoản chi có tính chất lương, các khoản đóng góp và các chế độ khác cho bộ máy quản lý; các khoản đóng góp và các chế độ khác của lao động trực tiếp sản xuất (chưa tính trong chi phí nhân công trực tiếp sản xuất); chi phí điện, nước, điện thoại, xăng xe, công tác phí, văn phòng phẩm, công cụ, dụng cụ cho bộ máy quản lý; chi phí khấu hao tài sản cố định phục vụ bộ máy quản lý đối với doanh nghiệp; chi hội </w:t>
      </w:r>
      <w:r w:rsidRPr="00E64CF2">
        <w:rPr>
          <w:color w:val="0000CC"/>
          <w:lang w:val="nl-NL"/>
        </w:rPr>
        <w:t xml:space="preserve">nghị triển khai, sơ kết, tổng kết của đơn vị; chi phí chuyển quân, chi phí làm nhà tạm </w:t>
      </w:r>
      <w:r w:rsidR="00E64CF2" w:rsidRPr="00E64CF2">
        <w:rPr>
          <w:color w:val="0000CC"/>
          <w:lang w:val="nl-NL"/>
        </w:rPr>
        <w:t>để ở và điều hành thi công</w:t>
      </w:r>
      <w:r w:rsidRPr="00E64CF2">
        <w:rPr>
          <w:color w:val="0000CC"/>
          <w:lang w:val="nl-NL"/>
        </w:rPr>
        <w:t xml:space="preserve">. </w:t>
      </w:r>
    </w:p>
    <w:p w:rsidR="00564C31" w:rsidRPr="005114EE" w:rsidRDefault="00564C31" w:rsidP="00912177">
      <w:pPr>
        <w:spacing w:before="120" w:after="0"/>
        <w:ind w:firstLine="567"/>
        <w:rPr>
          <w:color w:val="0000CC"/>
          <w:lang w:val="nl-NL"/>
        </w:rPr>
      </w:pPr>
      <w:r w:rsidRPr="005114EE">
        <w:rPr>
          <w:color w:val="0000CC"/>
          <w:lang w:val="nl-NL"/>
        </w:rPr>
        <w:t>b) Chi phí chung được xác định bằng chi phí nhân công nhân với tỷ lệ chi phí chung được xác định theo bảng sau:</w:t>
      </w:r>
    </w:p>
    <w:tbl>
      <w:tblPr>
        <w:tblStyle w:val="TableGrid"/>
        <w:tblW w:w="9046" w:type="dxa"/>
        <w:tblInd w:w="108" w:type="dxa"/>
        <w:tblLook w:val="04A0" w:firstRow="1" w:lastRow="0" w:firstColumn="1" w:lastColumn="0" w:noHBand="0" w:noVBand="1"/>
      </w:tblPr>
      <w:tblGrid>
        <w:gridCol w:w="2402"/>
        <w:gridCol w:w="2402"/>
        <w:gridCol w:w="2000"/>
        <w:gridCol w:w="2242"/>
      </w:tblGrid>
      <w:tr w:rsidR="007C6F8E" w:rsidRPr="005114EE" w:rsidTr="00AF5F3E">
        <w:tc>
          <w:tcPr>
            <w:tcW w:w="2402" w:type="dxa"/>
            <w:vAlign w:val="center"/>
          </w:tcPr>
          <w:p w:rsidR="007C6F8E" w:rsidRPr="007C6F8E" w:rsidRDefault="007C6F8E" w:rsidP="00912177">
            <w:pPr>
              <w:spacing w:before="120"/>
              <w:jc w:val="center"/>
              <w:rPr>
                <w:color w:val="0000CC"/>
                <w:sz w:val="26"/>
                <w:szCs w:val="26"/>
              </w:rPr>
            </w:pPr>
            <w:r w:rsidRPr="007C6F8E">
              <w:rPr>
                <w:color w:val="0000CC"/>
                <w:sz w:val="26"/>
                <w:szCs w:val="26"/>
              </w:rPr>
              <w:t>Chi phí nhân công</w:t>
            </w:r>
          </w:p>
        </w:tc>
        <w:tc>
          <w:tcPr>
            <w:tcW w:w="2402" w:type="dxa"/>
            <w:vAlign w:val="center"/>
          </w:tcPr>
          <w:p w:rsidR="007C6F8E" w:rsidRPr="005114EE" w:rsidRDefault="007C6F8E" w:rsidP="00912177">
            <w:pPr>
              <w:spacing w:before="120"/>
              <w:jc w:val="center"/>
              <w:rPr>
                <w:color w:val="0000CC"/>
                <w:sz w:val="26"/>
                <w:szCs w:val="26"/>
              </w:rPr>
            </w:pPr>
            <w:r w:rsidRPr="005114EE">
              <w:rPr>
                <w:color w:val="0000CC"/>
                <w:sz w:val="26"/>
                <w:szCs w:val="26"/>
              </w:rPr>
              <w:t>≤  15 tỷ đồng</w:t>
            </w:r>
          </w:p>
        </w:tc>
        <w:tc>
          <w:tcPr>
            <w:tcW w:w="2000" w:type="dxa"/>
            <w:vAlign w:val="center"/>
          </w:tcPr>
          <w:p w:rsidR="007C6F8E" w:rsidRPr="005114EE" w:rsidRDefault="007C6F8E" w:rsidP="00912177">
            <w:pPr>
              <w:spacing w:before="120"/>
              <w:jc w:val="center"/>
              <w:rPr>
                <w:color w:val="0000CC"/>
                <w:sz w:val="26"/>
                <w:szCs w:val="26"/>
              </w:rPr>
            </w:pPr>
            <w:r w:rsidRPr="005114EE">
              <w:rPr>
                <w:color w:val="0000CC"/>
                <w:sz w:val="26"/>
                <w:szCs w:val="26"/>
              </w:rPr>
              <w:t>≤ 100 tỷ đồng</w:t>
            </w:r>
          </w:p>
        </w:tc>
        <w:tc>
          <w:tcPr>
            <w:tcW w:w="2242" w:type="dxa"/>
            <w:vAlign w:val="center"/>
          </w:tcPr>
          <w:p w:rsidR="007C6F8E" w:rsidRPr="005114EE" w:rsidRDefault="007C6F8E" w:rsidP="00912177">
            <w:pPr>
              <w:spacing w:before="120"/>
              <w:jc w:val="center"/>
              <w:rPr>
                <w:color w:val="0000CC"/>
                <w:sz w:val="26"/>
                <w:szCs w:val="26"/>
              </w:rPr>
            </w:pPr>
            <w:r w:rsidRPr="005114EE">
              <w:rPr>
                <w:color w:val="0000CC"/>
                <w:sz w:val="26"/>
                <w:szCs w:val="26"/>
              </w:rPr>
              <w:t>&gt; 100 tỷ đồng</w:t>
            </w:r>
          </w:p>
        </w:tc>
      </w:tr>
      <w:tr w:rsidR="007C6F8E" w:rsidRPr="005114EE" w:rsidTr="00AF5F3E">
        <w:tc>
          <w:tcPr>
            <w:tcW w:w="2402" w:type="dxa"/>
            <w:vAlign w:val="center"/>
          </w:tcPr>
          <w:p w:rsidR="007C6F8E" w:rsidRPr="007C6F8E" w:rsidRDefault="007C6F8E" w:rsidP="00912177">
            <w:pPr>
              <w:spacing w:before="120"/>
              <w:jc w:val="center"/>
              <w:rPr>
                <w:color w:val="0000CC"/>
                <w:sz w:val="26"/>
                <w:szCs w:val="26"/>
              </w:rPr>
            </w:pPr>
            <w:r w:rsidRPr="007C6F8E">
              <w:rPr>
                <w:color w:val="0000CC"/>
                <w:sz w:val="26"/>
                <w:szCs w:val="26"/>
              </w:rPr>
              <w:t>Tỷ lệ chi phí chung</w:t>
            </w:r>
          </w:p>
        </w:tc>
        <w:tc>
          <w:tcPr>
            <w:tcW w:w="2402" w:type="dxa"/>
            <w:vAlign w:val="center"/>
          </w:tcPr>
          <w:p w:rsidR="007C6F8E" w:rsidRPr="005114EE" w:rsidRDefault="007C6F8E" w:rsidP="00912177">
            <w:pPr>
              <w:spacing w:before="120"/>
              <w:jc w:val="center"/>
              <w:rPr>
                <w:color w:val="0000CC"/>
                <w:sz w:val="26"/>
                <w:szCs w:val="26"/>
              </w:rPr>
            </w:pPr>
            <w:r w:rsidRPr="005114EE">
              <w:rPr>
                <w:color w:val="0000CC"/>
                <w:sz w:val="26"/>
                <w:szCs w:val="26"/>
              </w:rPr>
              <w:t>66%</w:t>
            </w:r>
          </w:p>
        </w:tc>
        <w:tc>
          <w:tcPr>
            <w:tcW w:w="2000" w:type="dxa"/>
            <w:vAlign w:val="center"/>
          </w:tcPr>
          <w:p w:rsidR="007C6F8E" w:rsidRPr="005114EE" w:rsidRDefault="007C6F8E" w:rsidP="00912177">
            <w:pPr>
              <w:spacing w:before="120"/>
              <w:jc w:val="center"/>
              <w:rPr>
                <w:color w:val="0000CC"/>
                <w:sz w:val="26"/>
                <w:szCs w:val="26"/>
              </w:rPr>
            </w:pPr>
            <w:r w:rsidRPr="005114EE">
              <w:rPr>
                <w:color w:val="0000CC"/>
                <w:sz w:val="26"/>
                <w:szCs w:val="26"/>
              </w:rPr>
              <w:t>60%</w:t>
            </w:r>
          </w:p>
        </w:tc>
        <w:tc>
          <w:tcPr>
            <w:tcW w:w="2242" w:type="dxa"/>
            <w:vAlign w:val="center"/>
          </w:tcPr>
          <w:p w:rsidR="007C6F8E" w:rsidRPr="005114EE" w:rsidRDefault="007C6F8E" w:rsidP="00912177">
            <w:pPr>
              <w:spacing w:before="120"/>
              <w:jc w:val="center"/>
              <w:rPr>
                <w:color w:val="0000CC"/>
                <w:sz w:val="26"/>
                <w:szCs w:val="26"/>
              </w:rPr>
            </w:pPr>
            <w:r w:rsidRPr="005114EE">
              <w:rPr>
                <w:color w:val="0000CC"/>
                <w:sz w:val="26"/>
                <w:szCs w:val="26"/>
              </w:rPr>
              <w:t>56%</w:t>
            </w:r>
          </w:p>
        </w:tc>
      </w:tr>
    </w:tbl>
    <w:p w:rsidR="007C6F8E" w:rsidRPr="007C6F8E" w:rsidRDefault="007C6F8E" w:rsidP="00912177">
      <w:pPr>
        <w:spacing w:before="120" w:after="0"/>
        <w:ind w:firstLine="567"/>
        <w:rPr>
          <w:color w:val="0000CC"/>
        </w:rPr>
      </w:pPr>
      <w:r>
        <w:rPr>
          <w:color w:val="0000CC"/>
        </w:rPr>
        <w:t xml:space="preserve">Trường hợp </w:t>
      </w:r>
      <w:r w:rsidRPr="00912177">
        <w:rPr>
          <w:color w:val="0000CC"/>
        </w:rPr>
        <w:t>quy mô chi phí nhân công nằm trong khoảng quy mô chi phí tại Bảng này thì định mức chi phí chung được xác định bằng phương pháp nội suy.</w:t>
      </w:r>
    </w:p>
    <w:p w:rsidR="00564C31" w:rsidRPr="005114EE" w:rsidRDefault="00564C31" w:rsidP="00912177">
      <w:pPr>
        <w:spacing w:before="120" w:after="0"/>
        <w:ind w:firstLine="567"/>
        <w:rPr>
          <w:color w:val="0000CC"/>
        </w:rPr>
      </w:pPr>
      <w:r w:rsidRPr="005114EE">
        <w:rPr>
          <w:color w:val="0000CC"/>
        </w:rPr>
        <w:t xml:space="preserve">Đối với các nhiệm vụ công ích trong lĩnh vực phòng, chống lụt, bão; ứng phó thiên tai, thảm họa: Nếu phát sinh các khoản chi phí đãi ngộ cho các lực lượng tham gia theo quy định </w:t>
      </w:r>
      <w:r w:rsidRPr="005114EE">
        <w:rPr>
          <w:i/>
          <w:color w:val="0000CC"/>
        </w:rPr>
        <w:t>(nằm ngoài chi phí nhân công đã được quy định tại điểm 2 của phụ lục này)</w:t>
      </w:r>
      <w:r w:rsidRPr="005114EE">
        <w:rPr>
          <w:color w:val="0000CC"/>
        </w:rPr>
        <w:t xml:space="preserve"> thì chi phí chung sau khi xác định theo tỷ lệ nêu trên </w:t>
      </w:r>
      <w:r w:rsidRPr="005114EE">
        <w:rPr>
          <w:color w:val="0000CC"/>
        </w:rPr>
        <w:lastRenderedPageBreak/>
        <w:t>được bổ sung thêm các khoản chi phí đãi ngộ cho các lực lượng tham gia theo quy định.</w:t>
      </w:r>
    </w:p>
    <w:p w:rsidR="00564C31" w:rsidRPr="005114EE" w:rsidRDefault="00564C31" w:rsidP="00912177">
      <w:pPr>
        <w:spacing w:before="120" w:after="0"/>
        <w:ind w:firstLine="567"/>
        <w:rPr>
          <w:color w:val="0000CC"/>
        </w:rPr>
      </w:pPr>
      <w:r w:rsidRPr="005114EE">
        <w:rPr>
          <w:color w:val="0000CC"/>
        </w:rPr>
        <w:t>c) Đối với các công trình tại vùng núi, biên giới, hải đảo thì định mức tỷ lệ chi phí chung sẽ được Điều chỉnh với hệ số từ 1,05 đến 1,1 do cơ quan, tổ chức có thẩm quyền quyết định giá quyết định tùy Điều kiện cụ thể của sản phẩm công ích.</w:t>
      </w:r>
    </w:p>
    <w:p w:rsidR="004656F4" w:rsidRPr="005114EE" w:rsidRDefault="0031503E" w:rsidP="00912177">
      <w:pPr>
        <w:spacing w:before="120" w:after="0"/>
        <w:ind w:firstLine="567"/>
        <w:rPr>
          <w:color w:val="0000CC"/>
          <w:szCs w:val="28"/>
          <w:lang w:val="nl-NL"/>
        </w:rPr>
      </w:pPr>
      <w:r w:rsidRPr="005114EE">
        <w:rPr>
          <w:b/>
          <w:color w:val="0000CC"/>
          <w:szCs w:val="28"/>
          <w:lang w:val="nl-NL"/>
        </w:rPr>
        <w:t xml:space="preserve">6. </w:t>
      </w:r>
      <w:r w:rsidRPr="005114EE">
        <w:rPr>
          <w:b/>
          <w:color w:val="0000CC"/>
          <w:sz w:val="26"/>
          <w:szCs w:val="26"/>
        </w:rPr>
        <w:t>Chi phí một số công việc chưa tính đủ khi thực hiện bảo dưỡng công trình</w:t>
      </w:r>
      <w:r w:rsidRPr="005114EE">
        <w:rPr>
          <w:color w:val="0000CC"/>
          <w:szCs w:val="28"/>
          <w:lang w:val="nl-NL"/>
        </w:rPr>
        <w:t xml:space="preserve">: </w:t>
      </w:r>
    </w:p>
    <w:p w:rsidR="004656F4" w:rsidRPr="005114EE" w:rsidRDefault="0031503E" w:rsidP="00912177">
      <w:pPr>
        <w:spacing w:before="120" w:after="0"/>
        <w:ind w:firstLine="567"/>
        <w:rPr>
          <w:color w:val="0000CC"/>
          <w:szCs w:val="28"/>
          <w:lang w:val="nl-NL"/>
        </w:rPr>
      </w:pPr>
      <w:r w:rsidRPr="005114EE">
        <w:rPr>
          <w:color w:val="0000CC"/>
          <w:szCs w:val="28"/>
          <w:lang w:val="nl-NL"/>
        </w:rPr>
        <w:t>Nội dung chi phí bao gồm các công tác: D</w:t>
      </w:r>
      <w:r w:rsidRPr="00095239">
        <w:rPr>
          <w:color w:val="0000CC"/>
          <w:szCs w:val="28"/>
          <w:shd w:val="clear" w:color="auto" w:fill="FFFFFF"/>
          <w:lang w:val="nl-NL"/>
        </w:rPr>
        <w:t>i chuyển lực lượng lao động, máy thiết bị trong nội bộ công trường</w:t>
      </w:r>
      <w:r w:rsidRPr="005114EE">
        <w:rPr>
          <w:color w:val="0000CC"/>
          <w:szCs w:val="28"/>
          <w:lang w:val="nl-NL"/>
        </w:rPr>
        <w:t xml:space="preserve">; chi phí an toàn lao động; đảm bảo giao thông; chi phí bảo vệ cho người lao động và môi trường xung quanh; chi phí thí nghiệm vật tư, vật liệu; bơm nước, vét bùn không thường xuyên. </w:t>
      </w:r>
    </w:p>
    <w:p w:rsidR="0031503E" w:rsidRPr="005114EE" w:rsidRDefault="0031503E" w:rsidP="00912177">
      <w:pPr>
        <w:spacing w:before="120" w:after="0"/>
        <w:ind w:firstLine="567"/>
        <w:rPr>
          <w:color w:val="0000CC"/>
          <w:szCs w:val="28"/>
          <w:lang w:val="nl-NL"/>
        </w:rPr>
      </w:pPr>
      <w:r w:rsidRPr="005114EE">
        <w:rPr>
          <w:color w:val="0000CC"/>
          <w:szCs w:val="28"/>
          <w:lang w:val="nl-NL"/>
        </w:rPr>
        <w:t>Chi phí này được xác định bằng tỷ lệ 1%  trên chi phí trực tiếp.</w:t>
      </w:r>
    </w:p>
    <w:p w:rsidR="004656F4" w:rsidRPr="00095239" w:rsidRDefault="0031503E" w:rsidP="00912177">
      <w:pPr>
        <w:spacing w:before="120" w:after="0"/>
        <w:ind w:firstLine="567"/>
        <w:rPr>
          <w:b/>
          <w:color w:val="0000CC"/>
          <w:lang w:val="nl-NL"/>
        </w:rPr>
      </w:pPr>
      <w:r w:rsidRPr="00095239">
        <w:rPr>
          <w:b/>
          <w:color w:val="0000CC"/>
          <w:lang w:val="nl-NL"/>
        </w:rPr>
        <w:t>7</w:t>
      </w:r>
      <w:r w:rsidR="00564C31" w:rsidRPr="00095239">
        <w:rPr>
          <w:b/>
          <w:color w:val="0000CC"/>
          <w:lang w:val="nl-NL"/>
        </w:rPr>
        <w:t xml:space="preserve">. Thu nhập chịu thuế tính trước: </w:t>
      </w:r>
    </w:p>
    <w:p w:rsidR="00564C31" w:rsidRPr="00095239" w:rsidRDefault="00564C31" w:rsidP="00912177">
      <w:pPr>
        <w:spacing w:before="120" w:after="0"/>
        <w:ind w:firstLine="567"/>
        <w:rPr>
          <w:color w:val="0000CC"/>
          <w:lang w:val="nl-NL"/>
        </w:rPr>
      </w:pPr>
      <w:r w:rsidRPr="00095239">
        <w:rPr>
          <w:color w:val="0000CC"/>
          <w:lang w:val="nl-NL"/>
        </w:rPr>
        <w:t xml:space="preserve">Được </w:t>
      </w:r>
      <w:r w:rsidR="004656F4" w:rsidRPr="00095239">
        <w:rPr>
          <w:color w:val="0000CC"/>
          <w:lang w:val="nl-NL"/>
        </w:rPr>
        <w:t xml:space="preserve">xác định </w:t>
      </w:r>
      <w:r w:rsidRPr="00095239">
        <w:rPr>
          <w:color w:val="0000CC"/>
          <w:lang w:val="nl-NL"/>
        </w:rPr>
        <w:t>bằng tỷ lệ 6% trên tổng chi phí trực tiếp và chi phí gián tiếp.</w:t>
      </w:r>
    </w:p>
    <w:p w:rsidR="00564C31" w:rsidRPr="00095239" w:rsidRDefault="0031503E" w:rsidP="00912177">
      <w:pPr>
        <w:spacing w:before="120" w:after="0"/>
        <w:ind w:firstLine="567"/>
        <w:rPr>
          <w:color w:val="0000CC"/>
          <w:lang w:val="nl-NL"/>
        </w:rPr>
      </w:pPr>
      <w:r w:rsidRPr="00095239">
        <w:rPr>
          <w:b/>
          <w:color w:val="0000CC"/>
          <w:lang w:val="nl-NL"/>
        </w:rPr>
        <w:t>8</w:t>
      </w:r>
      <w:r w:rsidR="00564C31" w:rsidRPr="00095239">
        <w:rPr>
          <w:b/>
          <w:color w:val="0000CC"/>
          <w:lang w:val="nl-NL"/>
        </w:rPr>
        <w:t>. Thuế giá trị gia tăng:</w:t>
      </w:r>
      <w:r w:rsidR="00564C31" w:rsidRPr="00095239">
        <w:rPr>
          <w:color w:val="0000CC"/>
          <w:lang w:val="nl-NL"/>
        </w:rPr>
        <w:t xml:space="preserve"> Áp dụng theo quy định hiện hành.</w:t>
      </w:r>
    </w:p>
    <w:p w:rsidR="00564C31" w:rsidRPr="00095239" w:rsidRDefault="00564C31" w:rsidP="00912177">
      <w:pPr>
        <w:spacing w:before="120" w:after="0"/>
        <w:rPr>
          <w:color w:val="0000CC"/>
          <w:sz w:val="30"/>
          <w:lang w:val="nl-NL"/>
        </w:rPr>
      </w:pPr>
      <w:r w:rsidRPr="00095239">
        <w:rPr>
          <w:color w:val="0000CC"/>
          <w:sz w:val="30"/>
          <w:lang w:val="nl-NL"/>
        </w:rPr>
        <w:br w:type="page"/>
      </w:r>
    </w:p>
    <w:p w:rsidR="00564C31" w:rsidRPr="005114EE" w:rsidRDefault="00564C31" w:rsidP="007C6F8E">
      <w:pPr>
        <w:spacing w:after="0"/>
        <w:jc w:val="center"/>
        <w:rPr>
          <w:b/>
          <w:color w:val="0000CC"/>
          <w:lang w:val="nl-NL"/>
        </w:rPr>
      </w:pPr>
      <w:r w:rsidRPr="005114EE">
        <w:rPr>
          <w:b/>
          <w:color w:val="0000CC"/>
          <w:lang w:val="nl-NL"/>
        </w:rPr>
        <w:lastRenderedPageBreak/>
        <w:t>PHỤ LỤC SỐ 03</w:t>
      </w:r>
    </w:p>
    <w:p w:rsidR="00564C31" w:rsidRPr="005114EE" w:rsidRDefault="00564C31" w:rsidP="007C6F8E">
      <w:pPr>
        <w:spacing w:after="0"/>
        <w:ind w:firstLine="0"/>
        <w:jc w:val="center"/>
        <w:rPr>
          <w:b/>
          <w:color w:val="0000CC"/>
          <w:lang w:val="nl-NL"/>
        </w:rPr>
      </w:pPr>
      <w:r w:rsidRPr="005114EE">
        <w:rPr>
          <w:b/>
          <w:color w:val="0000CC"/>
          <w:lang w:val="nl-NL"/>
        </w:rPr>
        <w:t>Phương pháp xác định chi phí quản lý kết cấu hạ tầng đường sắt quốc gia</w:t>
      </w:r>
    </w:p>
    <w:p w:rsidR="00564C31" w:rsidRPr="005114EE" w:rsidRDefault="00564C31" w:rsidP="007C6F8E">
      <w:pPr>
        <w:spacing w:after="0"/>
        <w:jc w:val="center"/>
        <w:rPr>
          <w:i/>
          <w:color w:val="0000CC"/>
          <w:lang w:val="nl-NL"/>
        </w:rPr>
      </w:pPr>
      <w:r w:rsidRPr="005114EE">
        <w:rPr>
          <w:i/>
          <w:color w:val="0000CC"/>
          <w:lang w:val="nl-NL"/>
        </w:rPr>
        <w:t xml:space="preserve">(Ban hành kèm theo Thông tư số           /2020/TT-BGTVT ngày      /   /2020 </w:t>
      </w:r>
    </w:p>
    <w:p w:rsidR="00564C31" w:rsidRPr="005114EE" w:rsidRDefault="00564C31" w:rsidP="007C6F8E">
      <w:pPr>
        <w:spacing w:after="0"/>
        <w:jc w:val="center"/>
        <w:rPr>
          <w:i/>
          <w:color w:val="0000CC"/>
          <w:lang w:val="nl-NL"/>
        </w:rPr>
      </w:pPr>
      <w:r w:rsidRPr="005114EE">
        <w:rPr>
          <w:i/>
          <w:color w:val="0000CC"/>
          <w:lang w:val="nl-NL"/>
        </w:rPr>
        <w:t>của Bộ trưởng Bộ Giao thông vận tải)</w:t>
      </w:r>
    </w:p>
    <w:p w:rsidR="00564C31" w:rsidRPr="00095239" w:rsidRDefault="00564C31" w:rsidP="00564C31">
      <w:pPr>
        <w:ind w:firstLine="567"/>
        <w:rPr>
          <w:color w:val="0000CC"/>
          <w:lang w:val="nl-NL"/>
        </w:rPr>
      </w:pPr>
    </w:p>
    <w:p w:rsidR="00564C31" w:rsidRPr="00095239" w:rsidRDefault="009C26B8" w:rsidP="00564C31">
      <w:pPr>
        <w:ind w:firstLine="567"/>
        <w:rPr>
          <w:color w:val="0000CC"/>
          <w:lang w:val="nl-NL"/>
        </w:rPr>
      </w:pPr>
      <w:r w:rsidRPr="00095239">
        <w:rPr>
          <w:color w:val="0000CC"/>
          <w:lang w:val="nl-NL"/>
        </w:rPr>
        <w:t>1</w:t>
      </w:r>
      <w:r w:rsidR="00564C31" w:rsidRPr="00095239">
        <w:rPr>
          <w:color w:val="0000CC"/>
          <w:lang w:val="nl-NL"/>
        </w:rPr>
        <w:t>. Chi phí quản lý kết cấu hạ tầng đường sắt</w:t>
      </w:r>
      <w:r w:rsidR="00F257C2" w:rsidRPr="00095239">
        <w:rPr>
          <w:color w:val="0000CC"/>
          <w:lang w:val="nl-NL"/>
        </w:rPr>
        <w:t xml:space="preserve"> </w:t>
      </w:r>
      <w:r w:rsidR="00564C31" w:rsidRPr="00095239">
        <w:rPr>
          <w:color w:val="0000CC"/>
          <w:lang w:val="nl-NL"/>
        </w:rPr>
        <w:t>(PA1) – Chờ số liệu từ Tổng công ty ĐSVN cung cấp.</w:t>
      </w:r>
    </w:p>
    <w:tbl>
      <w:tblPr>
        <w:tblStyle w:val="TableGrid"/>
        <w:tblW w:w="9072" w:type="dxa"/>
        <w:tblInd w:w="108" w:type="dxa"/>
        <w:tblLook w:val="04A0" w:firstRow="1" w:lastRow="0" w:firstColumn="1" w:lastColumn="0" w:noHBand="0" w:noVBand="1"/>
      </w:tblPr>
      <w:tblGrid>
        <w:gridCol w:w="2376"/>
        <w:gridCol w:w="1452"/>
        <w:gridCol w:w="1309"/>
        <w:gridCol w:w="1294"/>
        <w:gridCol w:w="1150"/>
        <w:gridCol w:w="1491"/>
      </w:tblGrid>
      <w:tr w:rsidR="001F3228" w:rsidRPr="005114EE" w:rsidTr="00AF5F3E">
        <w:tc>
          <w:tcPr>
            <w:tcW w:w="2376" w:type="dxa"/>
            <w:vAlign w:val="center"/>
          </w:tcPr>
          <w:p w:rsidR="001F3228" w:rsidRPr="00095239" w:rsidRDefault="001F3228" w:rsidP="001F3228">
            <w:pPr>
              <w:jc w:val="both"/>
              <w:rPr>
                <w:b/>
                <w:color w:val="0000CC"/>
                <w:sz w:val="26"/>
                <w:szCs w:val="26"/>
                <w:lang w:val="nl-NL"/>
              </w:rPr>
            </w:pPr>
            <w:r w:rsidRPr="005114EE">
              <w:rPr>
                <w:b/>
                <w:color w:val="0000CC"/>
                <w:sz w:val="26"/>
                <w:szCs w:val="26"/>
                <w:lang w:val="fr-FR"/>
              </w:rPr>
              <w:t>Tổng kinh phí bảo dưỡng đường sắt quốc gia (chưa có thuế GTGT) (tỷ đồng)</w:t>
            </w:r>
          </w:p>
        </w:tc>
        <w:tc>
          <w:tcPr>
            <w:tcW w:w="1452" w:type="dxa"/>
            <w:vAlign w:val="center"/>
          </w:tcPr>
          <w:p w:rsidR="001F3228" w:rsidRPr="005114EE" w:rsidRDefault="001F3228" w:rsidP="00880D09">
            <w:pPr>
              <w:pStyle w:val="NormalWeb"/>
              <w:spacing w:before="120" w:beforeAutospacing="0" w:after="0" w:afterAutospacing="0"/>
              <w:jc w:val="center"/>
              <w:rPr>
                <w:color w:val="0000CC"/>
                <w:sz w:val="26"/>
                <w:szCs w:val="26"/>
              </w:rPr>
            </w:pPr>
            <w:r w:rsidRPr="005114EE">
              <w:rPr>
                <w:b/>
                <w:bCs/>
                <w:color w:val="0000CC"/>
                <w:sz w:val="26"/>
                <w:szCs w:val="26"/>
                <w:lang w:val="vi-VN"/>
              </w:rPr>
              <w:t>200</w:t>
            </w:r>
          </w:p>
        </w:tc>
        <w:tc>
          <w:tcPr>
            <w:tcW w:w="1309" w:type="dxa"/>
            <w:vAlign w:val="center"/>
          </w:tcPr>
          <w:p w:rsidR="001F3228" w:rsidRPr="005114EE" w:rsidRDefault="001F3228" w:rsidP="00880D09">
            <w:pPr>
              <w:pStyle w:val="NormalWeb"/>
              <w:spacing w:before="120" w:beforeAutospacing="0" w:after="0" w:afterAutospacing="0"/>
              <w:jc w:val="center"/>
              <w:rPr>
                <w:color w:val="0000CC"/>
                <w:sz w:val="26"/>
                <w:szCs w:val="26"/>
              </w:rPr>
            </w:pPr>
            <w:r w:rsidRPr="005114EE">
              <w:rPr>
                <w:b/>
                <w:bCs/>
                <w:color w:val="0000CC"/>
                <w:sz w:val="26"/>
                <w:szCs w:val="26"/>
                <w:lang w:val="vi-VN"/>
              </w:rPr>
              <w:t>500</w:t>
            </w:r>
          </w:p>
        </w:tc>
        <w:tc>
          <w:tcPr>
            <w:tcW w:w="1294" w:type="dxa"/>
            <w:vAlign w:val="center"/>
          </w:tcPr>
          <w:p w:rsidR="001F3228" w:rsidRPr="005114EE" w:rsidRDefault="001F3228" w:rsidP="00880D09">
            <w:pPr>
              <w:pStyle w:val="NormalWeb"/>
              <w:spacing w:before="120" w:beforeAutospacing="0" w:after="0" w:afterAutospacing="0"/>
              <w:jc w:val="center"/>
              <w:rPr>
                <w:color w:val="0000CC"/>
                <w:sz w:val="26"/>
                <w:szCs w:val="26"/>
              </w:rPr>
            </w:pPr>
            <w:r w:rsidRPr="005114EE">
              <w:rPr>
                <w:b/>
                <w:bCs/>
                <w:color w:val="0000CC"/>
                <w:sz w:val="26"/>
                <w:szCs w:val="26"/>
                <w:lang w:val="vi-VN"/>
              </w:rPr>
              <w:t>1.000</w:t>
            </w:r>
          </w:p>
        </w:tc>
        <w:tc>
          <w:tcPr>
            <w:tcW w:w="1150" w:type="dxa"/>
            <w:vAlign w:val="center"/>
          </w:tcPr>
          <w:p w:rsidR="001F3228" w:rsidRPr="005114EE" w:rsidRDefault="001F3228" w:rsidP="00880D09">
            <w:pPr>
              <w:pStyle w:val="NormalWeb"/>
              <w:spacing w:before="120" w:beforeAutospacing="0" w:after="0" w:afterAutospacing="0"/>
              <w:jc w:val="center"/>
              <w:rPr>
                <w:color w:val="0000CC"/>
                <w:sz w:val="26"/>
                <w:szCs w:val="26"/>
              </w:rPr>
            </w:pPr>
            <w:r w:rsidRPr="005114EE">
              <w:rPr>
                <w:b/>
                <w:bCs/>
                <w:color w:val="0000CC"/>
                <w:sz w:val="26"/>
                <w:szCs w:val="26"/>
                <w:lang w:val="vi-VN"/>
              </w:rPr>
              <w:t>2.000</w:t>
            </w:r>
          </w:p>
        </w:tc>
        <w:tc>
          <w:tcPr>
            <w:tcW w:w="1491" w:type="dxa"/>
            <w:vAlign w:val="center"/>
          </w:tcPr>
          <w:p w:rsidR="001F3228" w:rsidRPr="005114EE" w:rsidRDefault="001F3228" w:rsidP="00880D09">
            <w:pPr>
              <w:pStyle w:val="NormalWeb"/>
              <w:spacing w:before="120" w:beforeAutospacing="0" w:after="0" w:afterAutospacing="0"/>
              <w:jc w:val="center"/>
              <w:rPr>
                <w:color w:val="0000CC"/>
                <w:sz w:val="26"/>
                <w:szCs w:val="26"/>
              </w:rPr>
            </w:pPr>
            <w:r w:rsidRPr="005114EE">
              <w:rPr>
                <w:b/>
                <w:bCs/>
                <w:color w:val="0000CC"/>
                <w:sz w:val="26"/>
                <w:szCs w:val="26"/>
                <w:lang w:val="vi-VN"/>
              </w:rPr>
              <w:t>5.000</w:t>
            </w:r>
          </w:p>
        </w:tc>
      </w:tr>
      <w:tr w:rsidR="001F3228" w:rsidRPr="005114EE" w:rsidTr="00AF5F3E">
        <w:tc>
          <w:tcPr>
            <w:tcW w:w="2376" w:type="dxa"/>
            <w:vAlign w:val="center"/>
          </w:tcPr>
          <w:p w:rsidR="001F3228" w:rsidRPr="005114EE" w:rsidRDefault="001F3228" w:rsidP="00AF5F3E">
            <w:pPr>
              <w:jc w:val="both"/>
              <w:rPr>
                <w:b/>
                <w:color w:val="0000CC"/>
                <w:sz w:val="26"/>
                <w:szCs w:val="26"/>
              </w:rPr>
            </w:pPr>
            <w:r w:rsidRPr="005114EE">
              <w:rPr>
                <w:b/>
                <w:color w:val="0000CC"/>
                <w:sz w:val="26"/>
                <w:szCs w:val="26"/>
              </w:rPr>
              <w:t>Tỷ lệ chi phí (%)</w:t>
            </w:r>
          </w:p>
        </w:tc>
        <w:tc>
          <w:tcPr>
            <w:tcW w:w="1452" w:type="dxa"/>
            <w:vAlign w:val="center"/>
          </w:tcPr>
          <w:p w:rsidR="001F3228" w:rsidRPr="005114EE" w:rsidRDefault="001F3228" w:rsidP="00AF5F3E">
            <w:pPr>
              <w:pStyle w:val="NormalWeb"/>
              <w:spacing w:before="120" w:beforeAutospacing="0" w:after="0" w:afterAutospacing="0"/>
              <w:jc w:val="center"/>
              <w:rPr>
                <w:color w:val="0000CC"/>
                <w:sz w:val="26"/>
                <w:szCs w:val="26"/>
              </w:rPr>
            </w:pPr>
          </w:p>
        </w:tc>
        <w:tc>
          <w:tcPr>
            <w:tcW w:w="1309" w:type="dxa"/>
            <w:vAlign w:val="center"/>
          </w:tcPr>
          <w:p w:rsidR="001F3228" w:rsidRPr="005114EE" w:rsidRDefault="001F3228" w:rsidP="00AF5F3E">
            <w:pPr>
              <w:pStyle w:val="NormalWeb"/>
              <w:spacing w:before="120" w:beforeAutospacing="0" w:after="0" w:afterAutospacing="0"/>
              <w:jc w:val="center"/>
              <w:rPr>
                <w:color w:val="0000CC"/>
                <w:sz w:val="26"/>
                <w:szCs w:val="26"/>
              </w:rPr>
            </w:pPr>
          </w:p>
        </w:tc>
        <w:tc>
          <w:tcPr>
            <w:tcW w:w="1294" w:type="dxa"/>
            <w:vAlign w:val="center"/>
          </w:tcPr>
          <w:p w:rsidR="001F3228" w:rsidRPr="005114EE" w:rsidRDefault="001F3228" w:rsidP="00AF5F3E">
            <w:pPr>
              <w:pStyle w:val="NormalWeb"/>
              <w:spacing w:before="120" w:beforeAutospacing="0" w:after="0" w:afterAutospacing="0"/>
              <w:jc w:val="center"/>
              <w:rPr>
                <w:color w:val="0000CC"/>
                <w:sz w:val="26"/>
                <w:szCs w:val="26"/>
              </w:rPr>
            </w:pPr>
          </w:p>
        </w:tc>
        <w:tc>
          <w:tcPr>
            <w:tcW w:w="1150" w:type="dxa"/>
            <w:vAlign w:val="center"/>
          </w:tcPr>
          <w:p w:rsidR="001F3228" w:rsidRPr="005114EE" w:rsidRDefault="001F3228" w:rsidP="00AF5F3E">
            <w:pPr>
              <w:pStyle w:val="NormalWeb"/>
              <w:spacing w:before="120" w:beforeAutospacing="0" w:after="0" w:afterAutospacing="0"/>
              <w:jc w:val="center"/>
              <w:rPr>
                <w:color w:val="0000CC"/>
                <w:sz w:val="26"/>
                <w:szCs w:val="26"/>
              </w:rPr>
            </w:pPr>
          </w:p>
        </w:tc>
        <w:tc>
          <w:tcPr>
            <w:tcW w:w="1491" w:type="dxa"/>
            <w:vAlign w:val="center"/>
          </w:tcPr>
          <w:p w:rsidR="001F3228" w:rsidRPr="005114EE" w:rsidRDefault="001F3228" w:rsidP="00AF5F3E">
            <w:pPr>
              <w:pStyle w:val="NormalWeb"/>
              <w:spacing w:before="120" w:beforeAutospacing="0" w:after="0" w:afterAutospacing="0"/>
              <w:jc w:val="center"/>
              <w:rPr>
                <w:color w:val="0000CC"/>
                <w:sz w:val="26"/>
                <w:szCs w:val="26"/>
              </w:rPr>
            </w:pPr>
          </w:p>
        </w:tc>
      </w:tr>
    </w:tbl>
    <w:p w:rsidR="001F3228" w:rsidRDefault="001F3228" w:rsidP="00564C31">
      <w:pPr>
        <w:ind w:firstLine="567"/>
        <w:rPr>
          <w:color w:val="0000CC"/>
        </w:rPr>
      </w:pPr>
    </w:p>
    <w:p w:rsidR="00564C31" w:rsidRPr="005114EE" w:rsidRDefault="009C26B8" w:rsidP="00564C31">
      <w:pPr>
        <w:ind w:firstLine="567"/>
        <w:rPr>
          <w:color w:val="0000CC"/>
        </w:rPr>
      </w:pPr>
      <w:r w:rsidRPr="005114EE">
        <w:rPr>
          <w:color w:val="0000CC"/>
        </w:rPr>
        <w:t>2</w:t>
      </w:r>
      <w:r w:rsidR="00564C31" w:rsidRPr="005114EE">
        <w:rPr>
          <w:color w:val="0000CC"/>
        </w:rPr>
        <w:t>. Chi phí giám sát công tác bảo dưỡng thường xuyên:</w:t>
      </w:r>
    </w:p>
    <w:tbl>
      <w:tblPr>
        <w:tblStyle w:val="TableGrid"/>
        <w:tblW w:w="9072" w:type="dxa"/>
        <w:tblInd w:w="108" w:type="dxa"/>
        <w:tblLook w:val="04A0" w:firstRow="1" w:lastRow="0" w:firstColumn="1" w:lastColumn="0" w:noHBand="0" w:noVBand="1"/>
      </w:tblPr>
      <w:tblGrid>
        <w:gridCol w:w="2376"/>
        <w:gridCol w:w="1452"/>
        <w:gridCol w:w="1309"/>
        <w:gridCol w:w="1294"/>
        <w:gridCol w:w="1150"/>
        <w:gridCol w:w="1491"/>
      </w:tblGrid>
      <w:tr w:rsidR="001F3228" w:rsidRPr="005114EE" w:rsidTr="00AF5F3E">
        <w:tc>
          <w:tcPr>
            <w:tcW w:w="2376" w:type="dxa"/>
            <w:vAlign w:val="center"/>
          </w:tcPr>
          <w:p w:rsidR="001F3228" w:rsidRPr="005114EE" w:rsidRDefault="001F3228" w:rsidP="001F3228">
            <w:pPr>
              <w:jc w:val="both"/>
              <w:rPr>
                <w:b/>
                <w:color w:val="0000CC"/>
                <w:sz w:val="26"/>
                <w:szCs w:val="26"/>
              </w:rPr>
            </w:pPr>
            <w:r w:rsidRPr="005114EE">
              <w:rPr>
                <w:b/>
                <w:color w:val="0000CC"/>
                <w:sz w:val="26"/>
                <w:szCs w:val="26"/>
                <w:lang w:val="fr-FR"/>
              </w:rPr>
              <w:t>Tổng chi phí trực tiếp (chưa có thuế GTGT) (tỷ đồng)</w:t>
            </w:r>
          </w:p>
        </w:tc>
        <w:tc>
          <w:tcPr>
            <w:tcW w:w="1452" w:type="dxa"/>
            <w:vAlign w:val="center"/>
          </w:tcPr>
          <w:p w:rsidR="001F3228" w:rsidRPr="005114EE" w:rsidRDefault="001F3228" w:rsidP="00A83166">
            <w:pPr>
              <w:pStyle w:val="NormalWeb"/>
              <w:spacing w:before="120" w:beforeAutospacing="0" w:after="0" w:afterAutospacing="0"/>
              <w:jc w:val="center"/>
              <w:rPr>
                <w:color w:val="0000CC"/>
                <w:sz w:val="26"/>
                <w:szCs w:val="26"/>
              </w:rPr>
            </w:pPr>
            <w:r w:rsidRPr="005114EE">
              <w:rPr>
                <w:b/>
                <w:bCs/>
                <w:color w:val="0000CC"/>
                <w:sz w:val="26"/>
                <w:szCs w:val="26"/>
                <w:lang w:val="vi-VN"/>
              </w:rPr>
              <w:t>200</w:t>
            </w:r>
          </w:p>
        </w:tc>
        <w:tc>
          <w:tcPr>
            <w:tcW w:w="1309" w:type="dxa"/>
            <w:vAlign w:val="center"/>
          </w:tcPr>
          <w:p w:rsidR="001F3228" w:rsidRPr="005114EE" w:rsidRDefault="001F3228" w:rsidP="00A83166">
            <w:pPr>
              <w:pStyle w:val="NormalWeb"/>
              <w:spacing w:before="120" w:beforeAutospacing="0" w:after="0" w:afterAutospacing="0"/>
              <w:jc w:val="center"/>
              <w:rPr>
                <w:color w:val="0000CC"/>
                <w:sz w:val="26"/>
                <w:szCs w:val="26"/>
              </w:rPr>
            </w:pPr>
            <w:r w:rsidRPr="005114EE">
              <w:rPr>
                <w:b/>
                <w:bCs/>
                <w:color w:val="0000CC"/>
                <w:sz w:val="26"/>
                <w:szCs w:val="26"/>
                <w:lang w:val="vi-VN"/>
              </w:rPr>
              <w:t>500</w:t>
            </w:r>
          </w:p>
        </w:tc>
        <w:tc>
          <w:tcPr>
            <w:tcW w:w="1294" w:type="dxa"/>
            <w:vAlign w:val="center"/>
          </w:tcPr>
          <w:p w:rsidR="001F3228" w:rsidRPr="005114EE" w:rsidRDefault="001F3228" w:rsidP="00A83166">
            <w:pPr>
              <w:pStyle w:val="NormalWeb"/>
              <w:spacing w:before="120" w:beforeAutospacing="0" w:after="0" w:afterAutospacing="0"/>
              <w:jc w:val="center"/>
              <w:rPr>
                <w:color w:val="0000CC"/>
                <w:sz w:val="26"/>
                <w:szCs w:val="26"/>
              </w:rPr>
            </w:pPr>
            <w:r w:rsidRPr="005114EE">
              <w:rPr>
                <w:b/>
                <w:bCs/>
                <w:color w:val="0000CC"/>
                <w:sz w:val="26"/>
                <w:szCs w:val="26"/>
                <w:lang w:val="vi-VN"/>
              </w:rPr>
              <w:t>1.000</w:t>
            </w:r>
          </w:p>
        </w:tc>
        <w:tc>
          <w:tcPr>
            <w:tcW w:w="1150" w:type="dxa"/>
            <w:vAlign w:val="center"/>
          </w:tcPr>
          <w:p w:rsidR="001F3228" w:rsidRPr="005114EE" w:rsidRDefault="001F3228" w:rsidP="00A83166">
            <w:pPr>
              <w:pStyle w:val="NormalWeb"/>
              <w:spacing w:before="120" w:beforeAutospacing="0" w:after="0" w:afterAutospacing="0"/>
              <w:jc w:val="center"/>
              <w:rPr>
                <w:color w:val="0000CC"/>
                <w:sz w:val="26"/>
                <w:szCs w:val="26"/>
              </w:rPr>
            </w:pPr>
            <w:r w:rsidRPr="005114EE">
              <w:rPr>
                <w:b/>
                <w:bCs/>
                <w:color w:val="0000CC"/>
                <w:sz w:val="26"/>
                <w:szCs w:val="26"/>
                <w:lang w:val="vi-VN"/>
              </w:rPr>
              <w:t>2.000</w:t>
            </w:r>
          </w:p>
        </w:tc>
        <w:tc>
          <w:tcPr>
            <w:tcW w:w="1491" w:type="dxa"/>
            <w:vAlign w:val="center"/>
          </w:tcPr>
          <w:p w:rsidR="001F3228" w:rsidRPr="005114EE" w:rsidRDefault="001F3228" w:rsidP="00A83166">
            <w:pPr>
              <w:pStyle w:val="NormalWeb"/>
              <w:spacing w:before="120" w:beforeAutospacing="0" w:after="0" w:afterAutospacing="0"/>
              <w:jc w:val="center"/>
              <w:rPr>
                <w:color w:val="0000CC"/>
                <w:sz w:val="26"/>
                <w:szCs w:val="26"/>
              </w:rPr>
            </w:pPr>
            <w:r w:rsidRPr="005114EE">
              <w:rPr>
                <w:b/>
                <w:bCs/>
                <w:color w:val="0000CC"/>
                <w:sz w:val="26"/>
                <w:szCs w:val="26"/>
                <w:lang w:val="vi-VN"/>
              </w:rPr>
              <w:t>5.000</w:t>
            </w:r>
          </w:p>
        </w:tc>
      </w:tr>
      <w:tr w:rsidR="001F3228" w:rsidRPr="005114EE" w:rsidTr="00AF5F3E">
        <w:tc>
          <w:tcPr>
            <w:tcW w:w="2376" w:type="dxa"/>
            <w:vAlign w:val="center"/>
          </w:tcPr>
          <w:p w:rsidR="001F3228" w:rsidRPr="005114EE" w:rsidRDefault="001F3228" w:rsidP="00AF5F3E">
            <w:pPr>
              <w:jc w:val="center"/>
              <w:rPr>
                <w:b/>
                <w:color w:val="0000CC"/>
                <w:sz w:val="26"/>
                <w:szCs w:val="26"/>
              </w:rPr>
            </w:pPr>
            <w:r w:rsidRPr="005114EE">
              <w:rPr>
                <w:b/>
                <w:color w:val="0000CC"/>
                <w:sz w:val="26"/>
                <w:szCs w:val="26"/>
              </w:rPr>
              <w:t>Tỷ lệ chi phí (%)</w:t>
            </w:r>
          </w:p>
        </w:tc>
        <w:tc>
          <w:tcPr>
            <w:tcW w:w="1452" w:type="dxa"/>
            <w:vAlign w:val="center"/>
          </w:tcPr>
          <w:p w:rsidR="001F3228" w:rsidRPr="005114EE" w:rsidRDefault="001F3228" w:rsidP="00AF5F3E">
            <w:pPr>
              <w:pStyle w:val="NormalWeb"/>
              <w:spacing w:before="120" w:beforeAutospacing="0" w:after="0" w:afterAutospacing="0"/>
              <w:jc w:val="center"/>
              <w:rPr>
                <w:color w:val="0000CC"/>
                <w:sz w:val="26"/>
                <w:szCs w:val="26"/>
                <w:lang w:val="vi-VN"/>
              </w:rPr>
            </w:pPr>
            <w:r w:rsidRPr="005114EE">
              <w:rPr>
                <w:color w:val="0000CC"/>
                <w:sz w:val="26"/>
                <w:szCs w:val="26"/>
                <w:lang w:val="vi-VN"/>
              </w:rPr>
              <w:t>1,272</w:t>
            </w:r>
          </w:p>
        </w:tc>
        <w:tc>
          <w:tcPr>
            <w:tcW w:w="1309" w:type="dxa"/>
            <w:vAlign w:val="center"/>
          </w:tcPr>
          <w:p w:rsidR="001F3228" w:rsidRPr="005114EE" w:rsidRDefault="001F3228" w:rsidP="00AF5F3E">
            <w:pPr>
              <w:pStyle w:val="NormalWeb"/>
              <w:spacing w:before="120" w:beforeAutospacing="0" w:after="0" w:afterAutospacing="0"/>
              <w:jc w:val="center"/>
              <w:rPr>
                <w:color w:val="0000CC"/>
                <w:sz w:val="26"/>
                <w:szCs w:val="26"/>
                <w:lang w:val="vi-VN"/>
              </w:rPr>
            </w:pPr>
            <w:r w:rsidRPr="005114EE">
              <w:rPr>
                <w:color w:val="0000CC"/>
                <w:sz w:val="26"/>
                <w:szCs w:val="26"/>
                <w:lang w:val="vi-VN"/>
              </w:rPr>
              <w:t>1,003</w:t>
            </w:r>
          </w:p>
        </w:tc>
        <w:tc>
          <w:tcPr>
            <w:tcW w:w="1294" w:type="dxa"/>
            <w:vAlign w:val="center"/>
          </w:tcPr>
          <w:p w:rsidR="001F3228" w:rsidRPr="005114EE" w:rsidRDefault="001F3228" w:rsidP="00AF5F3E">
            <w:pPr>
              <w:pStyle w:val="NormalWeb"/>
              <w:spacing w:before="120" w:beforeAutospacing="0" w:after="0" w:afterAutospacing="0"/>
              <w:jc w:val="center"/>
              <w:rPr>
                <w:color w:val="0000CC"/>
                <w:sz w:val="26"/>
                <w:szCs w:val="26"/>
                <w:lang w:val="vi-VN"/>
              </w:rPr>
            </w:pPr>
            <w:r w:rsidRPr="005114EE">
              <w:rPr>
                <w:color w:val="0000CC"/>
                <w:sz w:val="26"/>
                <w:szCs w:val="26"/>
                <w:lang w:val="vi-VN"/>
              </w:rPr>
              <w:t>0,731</w:t>
            </w:r>
          </w:p>
        </w:tc>
        <w:tc>
          <w:tcPr>
            <w:tcW w:w="1150" w:type="dxa"/>
            <w:vAlign w:val="center"/>
          </w:tcPr>
          <w:p w:rsidR="001F3228" w:rsidRPr="005114EE" w:rsidRDefault="001F3228" w:rsidP="00AF5F3E">
            <w:pPr>
              <w:pStyle w:val="NormalWeb"/>
              <w:spacing w:before="120" w:beforeAutospacing="0" w:after="0" w:afterAutospacing="0"/>
              <w:jc w:val="center"/>
              <w:rPr>
                <w:color w:val="0000CC"/>
                <w:sz w:val="26"/>
                <w:szCs w:val="26"/>
                <w:lang w:val="vi-VN"/>
              </w:rPr>
            </w:pPr>
            <w:r w:rsidRPr="005114EE">
              <w:rPr>
                <w:color w:val="0000CC"/>
                <w:sz w:val="26"/>
                <w:szCs w:val="26"/>
                <w:lang w:val="vi-VN"/>
              </w:rPr>
              <w:t>0,636</w:t>
            </w:r>
          </w:p>
        </w:tc>
        <w:tc>
          <w:tcPr>
            <w:tcW w:w="1491" w:type="dxa"/>
            <w:vAlign w:val="center"/>
          </w:tcPr>
          <w:p w:rsidR="001F3228" w:rsidRPr="005114EE" w:rsidRDefault="001F3228" w:rsidP="00AF5F3E">
            <w:pPr>
              <w:pStyle w:val="NormalWeb"/>
              <w:spacing w:before="120" w:beforeAutospacing="0" w:after="0" w:afterAutospacing="0"/>
              <w:jc w:val="center"/>
              <w:rPr>
                <w:color w:val="0000CC"/>
                <w:sz w:val="26"/>
                <w:szCs w:val="26"/>
                <w:lang w:val="vi-VN"/>
              </w:rPr>
            </w:pPr>
            <w:r w:rsidRPr="005114EE">
              <w:rPr>
                <w:color w:val="0000CC"/>
                <w:sz w:val="26"/>
                <w:szCs w:val="26"/>
                <w:lang w:val="vi-VN"/>
              </w:rPr>
              <w:t>0,550</w:t>
            </w:r>
          </w:p>
        </w:tc>
      </w:tr>
    </w:tbl>
    <w:p w:rsidR="001F3228" w:rsidRDefault="001F3228" w:rsidP="00564C31">
      <w:pPr>
        <w:tabs>
          <w:tab w:val="left" w:pos="5426"/>
        </w:tabs>
        <w:ind w:firstLine="567"/>
        <w:rPr>
          <w:color w:val="0000CC"/>
        </w:rPr>
      </w:pPr>
    </w:p>
    <w:p w:rsidR="00564C31" w:rsidRPr="005114EE" w:rsidRDefault="00187380" w:rsidP="00564C31">
      <w:pPr>
        <w:tabs>
          <w:tab w:val="left" w:pos="5426"/>
        </w:tabs>
        <w:ind w:firstLine="567"/>
        <w:rPr>
          <w:color w:val="0000CC"/>
        </w:rPr>
      </w:pPr>
      <w:r w:rsidRPr="005114EE">
        <w:rPr>
          <w:color w:val="0000CC"/>
        </w:rPr>
        <w:t>3</w:t>
      </w:r>
      <w:r w:rsidR="00564C31" w:rsidRPr="005114EE">
        <w:rPr>
          <w:color w:val="0000CC"/>
        </w:rPr>
        <w:t>. Chi phí quản lý công tác đặt hàng:</w:t>
      </w:r>
    </w:p>
    <w:tbl>
      <w:tblPr>
        <w:tblStyle w:val="TableGrid"/>
        <w:tblW w:w="9072" w:type="dxa"/>
        <w:tblInd w:w="108" w:type="dxa"/>
        <w:tblLook w:val="04A0" w:firstRow="1" w:lastRow="0" w:firstColumn="1" w:lastColumn="0" w:noHBand="0" w:noVBand="1"/>
      </w:tblPr>
      <w:tblGrid>
        <w:gridCol w:w="2376"/>
        <w:gridCol w:w="1452"/>
        <w:gridCol w:w="1309"/>
        <w:gridCol w:w="1294"/>
        <w:gridCol w:w="1150"/>
        <w:gridCol w:w="1491"/>
      </w:tblGrid>
      <w:tr w:rsidR="001F3228" w:rsidRPr="005114EE" w:rsidTr="00AF5F3E">
        <w:tc>
          <w:tcPr>
            <w:tcW w:w="2376" w:type="dxa"/>
            <w:vAlign w:val="center"/>
          </w:tcPr>
          <w:p w:rsidR="001F3228" w:rsidRPr="005114EE" w:rsidRDefault="001F3228" w:rsidP="001F3228">
            <w:pPr>
              <w:jc w:val="both"/>
              <w:rPr>
                <w:b/>
                <w:color w:val="0000CC"/>
                <w:sz w:val="26"/>
                <w:szCs w:val="26"/>
              </w:rPr>
            </w:pPr>
            <w:r w:rsidRPr="005114EE">
              <w:rPr>
                <w:b/>
                <w:color w:val="0000CC"/>
                <w:sz w:val="26"/>
                <w:szCs w:val="26"/>
                <w:lang w:val="fr-FR"/>
              </w:rPr>
              <w:t>Tổng kinh phí bảo dưỡng đường sắt quốc gia (chưa có thuế GTGT) (tỷ đồng)</w:t>
            </w:r>
          </w:p>
        </w:tc>
        <w:tc>
          <w:tcPr>
            <w:tcW w:w="1452" w:type="dxa"/>
            <w:vAlign w:val="center"/>
          </w:tcPr>
          <w:p w:rsidR="001F3228" w:rsidRPr="005114EE" w:rsidRDefault="001F3228" w:rsidP="00F16458">
            <w:pPr>
              <w:pStyle w:val="NormalWeb"/>
              <w:spacing w:before="120" w:beforeAutospacing="0" w:after="0" w:afterAutospacing="0"/>
              <w:jc w:val="center"/>
              <w:rPr>
                <w:color w:val="0000CC"/>
                <w:sz w:val="26"/>
                <w:szCs w:val="26"/>
              </w:rPr>
            </w:pPr>
            <w:r w:rsidRPr="005114EE">
              <w:rPr>
                <w:b/>
                <w:bCs/>
                <w:color w:val="0000CC"/>
                <w:sz w:val="26"/>
                <w:szCs w:val="26"/>
                <w:lang w:val="vi-VN"/>
              </w:rPr>
              <w:t>200</w:t>
            </w:r>
          </w:p>
        </w:tc>
        <w:tc>
          <w:tcPr>
            <w:tcW w:w="1309" w:type="dxa"/>
            <w:vAlign w:val="center"/>
          </w:tcPr>
          <w:p w:rsidR="001F3228" w:rsidRPr="005114EE" w:rsidRDefault="001F3228" w:rsidP="00F16458">
            <w:pPr>
              <w:pStyle w:val="NormalWeb"/>
              <w:spacing w:before="120" w:beforeAutospacing="0" w:after="0" w:afterAutospacing="0"/>
              <w:jc w:val="center"/>
              <w:rPr>
                <w:color w:val="0000CC"/>
                <w:sz w:val="26"/>
                <w:szCs w:val="26"/>
              </w:rPr>
            </w:pPr>
            <w:r w:rsidRPr="005114EE">
              <w:rPr>
                <w:b/>
                <w:bCs/>
                <w:color w:val="0000CC"/>
                <w:sz w:val="26"/>
                <w:szCs w:val="26"/>
                <w:lang w:val="vi-VN"/>
              </w:rPr>
              <w:t>500</w:t>
            </w:r>
          </w:p>
        </w:tc>
        <w:tc>
          <w:tcPr>
            <w:tcW w:w="1294" w:type="dxa"/>
            <w:vAlign w:val="center"/>
          </w:tcPr>
          <w:p w:rsidR="001F3228" w:rsidRPr="005114EE" w:rsidRDefault="001F3228" w:rsidP="00F16458">
            <w:pPr>
              <w:pStyle w:val="NormalWeb"/>
              <w:spacing w:before="120" w:beforeAutospacing="0" w:after="0" w:afterAutospacing="0"/>
              <w:jc w:val="center"/>
              <w:rPr>
                <w:color w:val="0000CC"/>
                <w:sz w:val="26"/>
                <w:szCs w:val="26"/>
              </w:rPr>
            </w:pPr>
            <w:r w:rsidRPr="005114EE">
              <w:rPr>
                <w:b/>
                <w:bCs/>
                <w:color w:val="0000CC"/>
                <w:sz w:val="26"/>
                <w:szCs w:val="26"/>
                <w:lang w:val="vi-VN"/>
              </w:rPr>
              <w:t>1.000</w:t>
            </w:r>
          </w:p>
        </w:tc>
        <w:tc>
          <w:tcPr>
            <w:tcW w:w="1150" w:type="dxa"/>
            <w:vAlign w:val="center"/>
          </w:tcPr>
          <w:p w:rsidR="001F3228" w:rsidRPr="005114EE" w:rsidRDefault="001F3228" w:rsidP="00F16458">
            <w:pPr>
              <w:pStyle w:val="NormalWeb"/>
              <w:spacing w:before="120" w:beforeAutospacing="0" w:after="0" w:afterAutospacing="0"/>
              <w:jc w:val="center"/>
              <w:rPr>
                <w:color w:val="0000CC"/>
                <w:sz w:val="26"/>
                <w:szCs w:val="26"/>
              </w:rPr>
            </w:pPr>
            <w:r w:rsidRPr="005114EE">
              <w:rPr>
                <w:b/>
                <w:bCs/>
                <w:color w:val="0000CC"/>
                <w:sz w:val="26"/>
                <w:szCs w:val="26"/>
                <w:lang w:val="vi-VN"/>
              </w:rPr>
              <w:t>2.000</w:t>
            </w:r>
          </w:p>
        </w:tc>
        <w:tc>
          <w:tcPr>
            <w:tcW w:w="1491" w:type="dxa"/>
            <w:vAlign w:val="center"/>
          </w:tcPr>
          <w:p w:rsidR="001F3228" w:rsidRPr="005114EE" w:rsidRDefault="001F3228" w:rsidP="00F16458">
            <w:pPr>
              <w:pStyle w:val="NormalWeb"/>
              <w:spacing w:before="120" w:beforeAutospacing="0" w:after="0" w:afterAutospacing="0"/>
              <w:jc w:val="center"/>
              <w:rPr>
                <w:color w:val="0000CC"/>
                <w:sz w:val="26"/>
                <w:szCs w:val="26"/>
              </w:rPr>
            </w:pPr>
            <w:r w:rsidRPr="005114EE">
              <w:rPr>
                <w:b/>
                <w:bCs/>
                <w:color w:val="0000CC"/>
                <w:sz w:val="26"/>
                <w:szCs w:val="26"/>
                <w:lang w:val="vi-VN"/>
              </w:rPr>
              <w:t>5.000</w:t>
            </w:r>
          </w:p>
        </w:tc>
      </w:tr>
      <w:tr w:rsidR="001F3228" w:rsidRPr="005114EE" w:rsidTr="00AF5F3E">
        <w:tc>
          <w:tcPr>
            <w:tcW w:w="2376" w:type="dxa"/>
            <w:vAlign w:val="center"/>
          </w:tcPr>
          <w:p w:rsidR="001F3228" w:rsidRPr="005114EE" w:rsidRDefault="001F3228" w:rsidP="001F3228">
            <w:pPr>
              <w:jc w:val="both"/>
              <w:rPr>
                <w:b/>
                <w:color w:val="0000CC"/>
                <w:sz w:val="26"/>
                <w:szCs w:val="26"/>
              </w:rPr>
            </w:pPr>
            <w:r w:rsidRPr="005114EE">
              <w:rPr>
                <w:b/>
                <w:color w:val="0000CC"/>
                <w:sz w:val="26"/>
                <w:szCs w:val="26"/>
              </w:rPr>
              <w:t>Tỷ lệ chi phí (%)</w:t>
            </w:r>
          </w:p>
        </w:tc>
        <w:tc>
          <w:tcPr>
            <w:tcW w:w="1452" w:type="dxa"/>
            <w:vAlign w:val="center"/>
          </w:tcPr>
          <w:p w:rsidR="001F3228" w:rsidRPr="005114EE" w:rsidRDefault="001F3228" w:rsidP="00AF5F3E">
            <w:pPr>
              <w:pStyle w:val="NormalWeb"/>
              <w:spacing w:before="120" w:beforeAutospacing="0" w:after="0" w:afterAutospacing="0"/>
              <w:jc w:val="center"/>
              <w:rPr>
                <w:color w:val="0000CC"/>
                <w:sz w:val="26"/>
                <w:szCs w:val="26"/>
              </w:rPr>
            </w:pPr>
            <w:r w:rsidRPr="005114EE">
              <w:rPr>
                <w:color w:val="0000CC"/>
                <w:sz w:val="26"/>
                <w:szCs w:val="26"/>
                <w:lang w:val="vi-VN"/>
              </w:rPr>
              <w:t>1,607</w:t>
            </w:r>
          </w:p>
        </w:tc>
        <w:tc>
          <w:tcPr>
            <w:tcW w:w="1309" w:type="dxa"/>
            <w:vAlign w:val="center"/>
          </w:tcPr>
          <w:p w:rsidR="001F3228" w:rsidRPr="005114EE" w:rsidRDefault="001F3228" w:rsidP="00AF5F3E">
            <w:pPr>
              <w:pStyle w:val="NormalWeb"/>
              <w:spacing w:before="120" w:beforeAutospacing="0" w:after="0" w:afterAutospacing="0"/>
              <w:jc w:val="center"/>
              <w:rPr>
                <w:color w:val="0000CC"/>
                <w:sz w:val="26"/>
                <w:szCs w:val="26"/>
              </w:rPr>
            </w:pPr>
            <w:r w:rsidRPr="005114EE">
              <w:rPr>
                <w:color w:val="0000CC"/>
                <w:sz w:val="26"/>
                <w:szCs w:val="26"/>
                <w:lang w:val="vi-VN"/>
              </w:rPr>
              <w:t>1,290</w:t>
            </w:r>
          </w:p>
        </w:tc>
        <w:tc>
          <w:tcPr>
            <w:tcW w:w="1294" w:type="dxa"/>
            <w:vAlign w:val="center"/>
          </w:tcPr>
          <w:p w:rsidR="001F3228" w:rsidRPr="005114EE" w:rsidRDefault="001F3228" w:rsidP="00AF5F3E">
            <w:pPr>
              <w:pStyle w:val="NormalWeb"/>
              <w:spacing w:before="120" w:beforeAutospacing="0" w:after="0" w:afterAutospacing="0"/>
              <w:jc w:val="center"/>
              <w:rPr>
                <w:color w:val="0000CC"/>
                <w:sz w:val="26"/>
                <w:szCs w:val="26"/>
              </w:rPr>
            </w:pPr>
            <w:r w:rsidRPr="005114EE">
              <w:rPr>
                <w:color w:val="0000CC"/>
                <w:sz w:val="26"/>
                <w:szCs w:val="26"/>
                <w:lang w:val="vi-VN"/>
              </w:rPr>
              <w:t>1,056</w:t>
            </w:r>
          </w:p>
        </w:tc>
        <w:tc>
          <w:tcPr>
            <w:tcW w:w="1150" w:type="dxa"/>
            <w:vAlign w:val="center"/>
          </w:tcPr>
          <w:p w:rsidR="001F3228" w:rsidRPr="005114EE" w:rsidRDefault="001F3228" w:rsidP="00AF5F3E">
            <w:pPr>
              <w:pStyle w:val="NormalWeb"/>
              <w:spacing w:before="120" w:beforeAutospacing="0" w:after="0" w:afterAutospacing="0"/>
              <w:jc w:val="center"/>
              <w:rPr>
                <w:color w:val="0000CC"/>
                <w:sz w:val="26"/>
                <w:szCs w:val="26"/>
              </w:rPr>
            </w:pPr>
            <w:r w:rsidRPr="005114EE">
              <w:rPr>
                <w:color w:val="0000CC"/>
                <w:sz w:val="26"/>
                <w:szCs w:val="26"/>
                <w:lang w:val="vi-VN"/>
              </w:rPr>
              <w:t>0,910</w:t>
            </w:r>
          </w:p>
        </w:tc>
        <w:tc>
          <w:tcPr>
            <w:tcW w:w="1491" w:type="dxa"/>
            <w:vAlign w:val="center"/>
          </w:tcPr>
          <w:p w:rsidR="001F3228" w:rsidRPr="005114EE" w:rsidRDefault="001F3228" w:rsidP="00AF5F3E">
            <w:pPr>
              <w:pStyle w:val="NormalWeb"/>
              <w:spacing w:before="120" w:beforeAutospacing="0" w:after="0" w:afterAutospacing="0"/>
              <w:jc w:val="center"/>
              <w:rPr>
                <w:color w:val="0000CC"/>
                <w:sz w:val="26"/>
                <w:szCs w:val="26"/>
              </w:rPr>
            </w:pPr>
            <w:r w:rsidRPr="005114EE">
              <w:rPr>
                <w:color w:val="0000CC"/>
                <w:sz w:val="26"/>
                <w:szCs w:val="26"/>
                <w:lang w:val="vi-VN"/>
              </w:rPr>
              <w:t>0,606</w:t>
            </w:r>
          </w:p>
        </w:tc>
      </w:tr>
    </w:tbl>
    <w:p w:rsidR="00564C31" w:rsidRPr="005114EE" w:rsidRDefault="00564C31" w:rsidP="00564C31">
      <w:pPr>
        <w:tabs>
          <w:tab w:val="left" w:pos="5426"/>
        </w:tabs>
        <w:ind w:firstLine="567"/>
        <w:rPr>
          <w:color w:val="0000CC"/>
          <w:sz w:val="30"/>
        </w:rPr>
      </w:pPr>
    </w:p>
    <w:bookmarkEnd w:id="1"/>
    <w:p w:rsidR="006D1093" w:rsidRPr="005114EE" w:rsidRDefault="00F810F1">
      <w:pPr>
        <w:rPr>
          <w:b/>
          <w:color w:val="0000CC"/>
          <w:szCs w:val="28"/>
          <w:lang w:val="nl-NL"/>
        </w:rPr>
      </w:pPr>
      <w:r>
        <w:rPr>
          <w:color w:val="0000CC"/>
        </w:rPr>
        <w:t xml:space="preserve">Trường hợp </w:t>
      </w:r>
      <w:r w:rsidRPr="00912177">
        <w:rPr>
          <w:color w:val="0000CC"/>
        </w:rPr>
        <w:t>quy mô chi phí nằm trong khoảng quy mô chi phí tại</w:t>
      </w:r>
      <w:r>
        <w:rPr>
          <w:color w:val="0000CC"/>
        </w:rPr>
        <w:t xml:space="preserve"> các</w:t>
      </w:r>
      <w:r w:rsidRPr="00912177">
        <w:rPr>
          <w:color w:val="0000CC"/>
        </w:rPr>
        <w:t xml:space="preserve"> Bảng </w:t>
      </w:r>
      <w:r>
        <w:rPr>
          <w:color w:val="0000CC"/>
        </w:rPr>
        <w:t>trên</w:t>
      </w:r>
      <w:r w:rsidRPr="00912177">
        <w:rPr>
          <w:color w:val="0000CC"/>
        </w:rPr>
        <w:t xml:space="preserve"> thì định mức chi phí được xác định bằng phương pháp nội suy.</w:t>
      </w:r>
    </w:p>
    <w:sectPr w:rsidR="006D1093" w:rsidRPr="005114EE" w:rsidSect="00FC2DD7">
      <w:headerReference w:type="default" r:id="rId17"/>
      <w:footerReference w:type="default" r:id="rId18"/>
      <w:pgSz w:w="11907" w:h="16840" w:code="9"/>
      <w:pgMar w:top="1134" w:right="1134" w:bottom="1134" w:left="1701" w:header="72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C3" w:rsidRDefault="00FB79C3" w:rsidP="00397471">
      <w:pPr>
        <w:spacing w:after="0"/>
      </w:pPr>
      <w:r>
        <w:separator/>
      </w:r>
    </w:p>
  </w:endnote>
  <w:endnote w:type="continuationSeparator" w:id="0">
    <w:p w:rsidR="00FB79C3" w:rsidRDefault="00FB79C3" w:rsidP="00397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9A" w:rsidRPr="00AD249A" w:rsidRDefault="00AD249A" w:rsidP="00AD249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C3" w:rsidRDefault="00FB79C3" w:rsidP="00397471">
      <w:pPr>
        <w:spacing w:after="0"/>
      </w:pPr>
      <w:r>
        <w:separator/>
      </w:r>
    </w:p>
  </w:footnote>
  <w:footnote w:type="continuationSeparator" w:id="0">
    <w:p w:rsidR="00FB79C3" w:rsidRDefault="00FB79C3" w:rsidP="003974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3654"/>
      <w:docPartObj>
        <w:docPartGallery w:val="Page Numbers (Top of Page)"/>
        <w:docPartUnique/>
      </w:docPartObj>
    </w:sdtPr>
    <w:sdtEndPr/>
    <w:sdtContent>
      <w:p w:rsidR="00397471" w:rsidRDefault="008A04A7" w:rsidP="00AD249A">
        <w:pPr>
          <w:pStyle w:val="Header"/>
          <w:jc w:val="center"/>
        </w:pPr>
        <w:r>
          <w:fldChar w:fldCharType="begin"/>
        </w:r>
        <w:r>
          <w:instrText xml:space="preserve"> PAGE   \* MERGEFORMAT </w:instrText>
        </w:r>
        <w:r>
          <w:fldChar w:fldCharType="separate"/>
        </w:r>
        <w:r w:rsidR="0009523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B"/>
    <w:rsid w:val="00001C6B"/>
    <w:rsid w:val="00021137"/>
    <w:rsid w:val="00021173"/>
    <w:rsid w:val="000319A3"/>
    <w:rsid w:val="00052F23"/>
    <w:rsid w:val="00053679"/>
    <w:rsid w:val="0007297E"/>
    <w:rsid w:val="0007470E"/>
    <w:rsid w:val="00074B32"/>
    <w:rsid w:val="00083BDA"/>
    <w:rsid w:val="00087853"/>
    <w:rsid w:val="00090EEE"/>
    <w:rsid w:val="0009427D"/>
    <w:rsid w:val="00095239"/>
    <w:rsid w:val="00097B3E"/>
    <w:rsid w:val="000A16F8"/>
    <w:rsid w:val="000A2806"/>
    <w:rsid w:val="000A3A30"/>
    <w:rsid w:val="000A73F9"/>
    <w:rsid w:val="000B3DEF"/>
    <w:rsid w:val="000C74E2"/>
    <w:rsid w:val="000D46BD"/>
    <w:rsid w:val="000F50E6"/>
    <w:rsid w:val="00100564"/>
    <w:rsid w:val="0010442A"/>
    <w:rsid w:val="00104BA1"/>
    <w:rsid w:val="00122D97"/>
    <w:rsid w:val="00145259"/>
    <w:rsid w:val="00146662"/>
    <w:rsid w:val="00171C67"/>
    <w:rsid w:val="00187380"/>
    <w:rsid w:val="00196027"/>
    <w:rsid w:val="001967A3"/>
    <w:rsid w:val="001A1649"/>
    <w:rsid w:val="001B7C7F"/>
    <w:rsid w:val="001C2F76"/>
    <w:rsid w:val="001D16B3"/>
    <w:rsid w:val="001F3228"/>
    <w:rsid w:val="00222B24"/>
    <w:rsid w:val="0024452B"/>
    <w:rsid w:val="00287ABB"/>
    <w:rsid w:val="002D40DE"/>
    <w:rsid w:val="002E122F"/>
    <w:rsid w:val="002E67CC"/>
    <w:rsid w:val="002E69B7"/>
    <w:rsid w:val="002F7627"/>
    <w:rsid w:val="002F7890"/>
    <w:rsid w:val="0030106C"/>
    <w:rsid w:val="00303AC1"/>
    <w:rsid w:val="0031503E"/>
    <w:rsid w:val="00323952"/>
    <w:rsid w:val="00324BD7"/>
    <w:rsid w:val="00327040"/>
    <w:rsid w:val="003352B2"/>
    <w:rsid w:val="0034573E"/>
    <w:rsid w:val="00381515"/>
    <w:rsid w:val="00390587"/>
    <w:rsid w:val="00390C55"/>
    <w:rsid w:val="00397471"/>
    <w:rsid w:val="003B4B1D"/>
    <w:rsid w:val="003B5B59"/>
    <w:rsid w:val="003C08B1"/>
    <w:rsid w:val="003C1503"/>
    <w:rsid w:val="003C70C9"/>
    <w:rsid w:val="003D5616"/>
    <w:rsid w:val="00407668"/>
    <w:rsid w:val="00432A72"/>
    <w:rsid w:val="0046067D"/>
    <w:rsid w:val="00462AC3"/>
    <w:rsid w:val="004656F4"/>
    <w:rsid w:val="00473EBE"/>
    <w:rsid w:val="004C59AC"/>
    <w:rsid w:val="005114EE"/>
    <w:rsid w:val="0052001B"/>
    <w:rsid w:val="00525651"/>
    <w:rsid w:val="00536BCA"/>
    <w:rsid w:val="00542A98"/>
    <w:rsid w:val="00564C31"/>
    <w:rsid w:val="005B02BA"/>
    <w:rsid w:val="005F63ED"/>
    <w:rsid w:val="00610A83"/>
    <w:rsid w:val="0061706C"/>
    <w:rsid w:val="006259B6"/>
    <w:rsid w:val="00634134"/>
    <w:rsid w:val="00657E85"/>
    <w:rsid w:val="006617BE"/>
    <w:rsid w:val="0066301B"/>
    <w:rsid w:val="00682297"/>
    <w:rsid w:val="006A206F"/>
    <w:rsid w:val="006D1093"/>
    <w:rsid w:val="006D5A1C"/>
    <w:rsid w:val="006F06DF"/>
    <w:rsid w:val="006F33F5"/>
    <w:rsid w:val="006F3908"/>
    <w:rsid w:val="007060BF"/>
    <w:rsid w:val="00721972"/>
    <w:rsid w:val="00725D25"/>
    <w:rsid w:val="00735F0E"/>
    <w:rsid w:val="00746B14"/>
    <w:rsid w:val="007546BC"/>
    <w:rsid w:val="00771F23"/>
    <w:rsid w:val="007773F2"/>
    <w:rsid w:val="00786B4D"/>
    <w:rsid w:val="00792DE8"/>
    <w:rsid w:val="007A4EB0"/>
    <w:rsid w:val="007B1C1E"/>
    <w:rsid w:val="007C6F8E"/>
    <w:rsid w:val="007D56C1"/>
    <w:rsid w:val="007E5452"/>
    <w:rsid w:val="008078E5"/>
    <w:rsid w:val="00821083"/>
    <w:rsid w:val="008225F8"/>
    <w:rsid w:val="008359AF"/>
    <w:rsid w:val="008503D3"/>
    <w:rsid w:val="00855B8B"/>
    <w:rsid w:val="00855FB7"/>
    <w:rsid w:val="008A04A7"/>
    <w:rsid w:val="008A2DC4"/>
    <w:rsid w:val="008A5D34"/>
    <w:rsid w:val="008C6958"/>
    <w:rsid w:val="008D74CF"/>
    <w:rsid w:val="008E4273"/>
    <w:rsid w:val="00912177"/>
    <w:rsid w:val="00917445"/>
    <w:rsid w:val="00920510"/>
    <w:rsid w:val="0092712F"/>
    <w:rsid w:val="009305AF"/>
    <w:rsid w:val="009652F2"/>
    <w:rsid w:val="00967EBE"/>
    <w:rsid w:val="009740A5"/>
    <w:rsid w:val="00984929"/>
    <w:rsid w:val="009B1305"/>
    <w:rsid w:val="009B392B"/>
    <w:rsid w:val="009C17A9"/>
    <w:rsid w:val="009C26B8"/>
    <w:rsid w:val="009E53EA"/>
    <w:rsid w:val="009F5FBC"/>
    <w:rsid w:val="00A0551D"/>
    <w:rsid w:val="00A05C13"/>
    <w:rsid w:val="00A0655A"/>
    <w:rsid w:val="00A417CC"/>
    <w:rsid w:val="00A5144E"/>
    <w:rsid w:val="00A5320F"/>
    <w:rsid w:val="00A57AEC"/>
    <w:rsid w:val="00A61E83"/>
    <w:rsid w:val="00AA11F3"/>
    <w:rsid w:val="00AA23F6"/>
    <w:rsid w:val="00AB202E"/>
    <w:rsid w:val="00AC12A6"/>
    <w:rsid w:val="00AC7D41"/>
    <w:rsid w:val="00AD249A"/>
    <w:rsid w:val="00AD7379"/>
    <w:rsid w:val="00AF2AA5"/>
    <w:rsid w:val="00B23ED8"/>
    <w:rsid w:val="00B54513"/>
    <w:rsid w:val="00B80B6F"/>
    <w:rsid w:val="00B90728"/>
    <w:rsid w:val="00BA03B1"/>
    <w:rsid w:val="00BA6922"/>
    <w:rsid w:val="00BB4E07"/>
    <w:rsid w:val="00BD052B"/>
    <w:rsid w:val="00BD0D31"/>
    <w:rsid w:val="00BD7E8D"/>
    <w:rsid w:val="00BE76BA"/>
    <w:rsid w:val="00BF6E77"/>
    <w:rsid w:val="00BF718A"/>
    <w:rsid w:val="00C03C24"/>
    <w:rsid w:val="00C05C76"/>
    <w:rsid w:val="00C0736C"/>
    <w:rsid w:val="00C114C2"/>
    <w:rsid w:val="00C436E1"/>
    <w:rsid w:val="00C6750C"/>
    <w:rsid w:val="00C703DE"/>
    <w:rsid w:val="00CA313A"/>
    <w:rsid w:val="00CD0A10"/>
    <w:rsid w:val="00CD180B"/>
    <w:rsid w:val="00CE65CF"/>
    <w:rsid w:val="00CF521B"/>
    <w:rsid w:val="00D04167"/>
    <w:rsid w:val="00D10B9D"/>
    <w:rsid w:val="00D32EF5"/>
    <w:rsid w:val="00D34413"/>
    <w:rsid w:val="00D45EE5"/>
    <w:rsid w:val="00D86634"/>
    <w:rsid w:val="00DC0CF9"/>
    <w:rsid w:val="00DD72AD"/>
    <w:rsid w:val="00DF2C52"/>
    <w:rsid w:val="00DF3091"/>
    <w:rsid w:val="00E32ECA"/>
    <w:rsid w:val="00E3392B"/>
    <w:rsid w:val="00E33B79"/>
    <w:rsid w:val="00E40576"/>
    <w:rsid w:val="00E54740"/>
    <w:rsid w:val="00E54B50"/>
    <w:rsid w:val="00E6128B"/>
    <w:rsid w:val="00E64CF2"/>
    <w:rsid w:val="00E662D2"/>
    <w:rsid w:val="00E772FD"/>
    <w:rsid w:val="00E84B49"/>
    <w:rsid w:val="00EA34EE"/>
    <w:rsid w:val="00EA5FD5"/>
    <w:rsid w:val="00EB1DB9"/>
    <w:rsid w:val="00EB5E4D"/>
    <w:rsid w:val="00EE1DC0"/>
    <w:rsid w:val="00EE30DB"/>
    <w:rsid w:val="00F257C2"/>
    <w:rsid w:val="00F361C5"/>
    <w:rsid w:val="00F60E00"/>
    <w:rsid w:val="00F74A38"/>
    <w:rsid w:val="00F810F1"/>
    <w:rsid w:val="00F856CA"/>
    <w:rsid w:val="00F87695"/>
    <w:rsid w:val="00FA0893"/>
    <w:rsid w:val="00FA752D"/>
    <w:rsid w:val="00FB79C3"/>
    <w:rsid w:val="00FC2DD7"/>
    <w:rsid w:val="00FD7B8C"/>
    <w:rsid w:val="00FF0786"/>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3CE0B-81F9-45A4-836B-57E62A43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471"/>
    <w:pPr>
      <w:spacing w:after="0"/>
      <w:ind w:firstLine="0"/>
      <w:jc w:val="left"/>
    </w:pPr>
    <w:rPr>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7471"/>
    <w:pPr>
      <w:tabs>
        <w:tab w:val="center" w:pos="4680"/>
        <w:tab w:val="right" w:pos="9360"/>
      </w:tabs>
      <w:spacing w:after="0"/>
    </w:pPr>
  </w:style>
  <w:style w:type="character" w:customStyle="1" w:styleId="HeaderChar">
    <w:name w:val="Header Char"/>
    <w:basedOn w:val="DefaultParagraphFont"/>
    <w:link w:val="Header"/>
    <w:uiPriority w:val="99"/>
    <w:rsid w:val="00397471"/>
  </w:style>
  <w:style w:type="paragraph" w:styleId="Footer">
    <w:name w:val="footer"/>
    <w:basedOn w:val="Normal"/>
    <w:link w:val="FooterChar"/>
    <w:uiPriority w:val="99"/>
    <w:semiHidden/>
    <w:unhideWhenUsed/>
    <w:rsid w:val="00397471"/>
    <w:pPr>
      <w:tabs>
        <w:tab w:val="center" w:pos="4680"/>
        <w:tab w:val="right" w:pos="9360"/>
      </w:tabs>
      <w:spacing w:after="0"/>
    </w:pPr>
  </w:style>
  <w:style w:type="character" w:customStyle="1" w:styleId="FooterChar">
    <w:name w:val="Footer Char"/>
    <w:basedOn w:val="DefaultParagraphFont"/>
    <w:link w:val="Footer"/>
    <w:uiPriority w:val="99"/>
    <w:semiHidden/>
    <w:rsid w:val="00397471"/>
  </w:style>
  <w:style w:type="character" w:customStyle="1" w:styleId="BodyTextChar">
    <w:name w:val="Body Text Char"/>
    <w:link w:val="BodyText"/>
    <w:rsid w:val="00564C31"/>
    <w:rPr>
      <w:rFonts w:eastAsia="Times New Roman"/>
      <w:sz w:val="26"/>
      <w:szCs w:val="26"/>
      <w:shd w:val="clear" w:color="auto" w:fill="FFFFFF"/>
    </w:rPr>
  </w:style>
  <w:style w:type="paragraph" w:styleId="BodyText">
    <w:name w:val="Body Text"/>
    <w:basedOn w:val="Normal"/>
    <w:link w:val="BodyTextChar"/>
    <w:qFormat/>
    <w:rsid w:val="00564C31"/>
    <w:pPr>
      <w:widowControl w:val="0"/>
      <w:shd w:val="clear" w:color="auto" w:fill="FFFFFF"/>
      <w:spacing w:after="100" w:line="283" w:lineRule="auto"/>
      <w:ind w:firstLine="400"/>
    </w:pPr>
    <w:rPr>
      <w:rFonts w:eastAsia="Times New Roman"/>
      <w:sz w:val="26"/>
      <w:szCs w:val="26"/>
    </w:rPr>
  </w:style>
  <w:style w:type="character" w:customStyle="1" w:styleId="BodyTextChar1">
    <w:name w:val="Body Text Char1"/>
    <w:basedOn w:val="DefaultParagraphFont"/>
    <w:uiPriority w:val="99"/>
    <w:semiHidden/>
    <w:rsid w:val="00564C31"/>
  </w:style>
  <w:style w:type="paragraph" w:styleId="NormalWeb">
    <w:name w:val="Normal (Web)"/>
    <w:basedOn w:val="Normal"/>
    <w:uiPriority w:val="99"/>
    <w:unhideWhenUsed/>
    <w:rsid w:val="00564C31"/>
    <w:pPr>
      <w:spacing w:before="100" w:beforeAutospacing="1" w:after="100" w:afterAutospacing="1"/>
      <w:ind w:firstLine="0"/>
      <w:jc w:val="left"/>
    </w:pPr>
    <w:rPr>
      <w:rFonts w:eastAsia="Times New Roman"/>
      <w:sz w:val="24"/>
      <w:szCs w:val="24"/>
    </w:rPr>
  </w:style>
  <w:style w:type="paragraph" w:styleId="BalloonText">
    <w:name w:val="Balloon Text"/>
    <w:basedOn w:val="Normal"/>
    <w:link w:val="BalloonTextChar"/>
    <w:uiPriority w:val="99"/>
    <w:semiHidden/>
    <w:unhideWhenUsed/>
    <w:rsid w:val="000B3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EF"/>
    <w:rPr>
      <w:rFonts w:ascii="Tahoma" w:hAnsi="Tahoma" w:cs="Tahoma"/>
      <w:sz w:val="16"/>
      <w:szCs w:val="16"/>
    </w:rPr>
  </w:style>
  <w:style w:type="paragraph" w:styleId="ListParagraph">
    <w:name w:val="List Paragraph"/>
    <w:basedOn w:val="Normal"/>
    <w:uiPriority w:val="34"/>
    <w:qFormat/>
    <w:rsid w:val="00E7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A51E-3A2E-4213-9EBF-487B1371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cp:revision>
  <cp:lastPrinted>2020-03-30T07:10:00Z</cp:lastPrinted>
  <dcterms:created xsi:type="dcterms:W3CDTF">2020-04-06T07:04:00Z</dcterms:created>
  <dcterms:modified xsi:type="dcterms:W3CDTF">2020-04-06T07:04:00Z</dcterms:modified>
</cp:coreProperties>
</file>