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D3" w:rsidRPr="006E741B" w:rsidRDefault="00A518CA" w:rsidP="00680AD3">
      <w:pPr>
        <w:spacing w:before="0"/>
        <w:jc w:val="center"/>
        <w:rPr>
          <w:b/>
          <w:sz w:val="26"/>
          <w:szCs w:val="20"/>
        </w:rPr>
      </w:pPr>
      <w:r>
        <w:rPr>
          <w:b/>
          <w:sz w:val="26"/>
          <w:szCs w:val="20"/>
        </w:rPr>
        <w:t xml:space="preserve">Ý KIẾN </w:t>
      </w:r>
      <w:r w:rsidR="00BC2B37">
        <w:rPr>
          <w:b/>
          <w:sz w:val="26"/>
          <w:szCs w:val="20"/>
        </w:rPr>
        <w:t>GIẢI TRÌNH NỘI DUNG THẨM ĐỊNH</w:t>
      </w:r>
      <w:r w:rsidR="00680AD3" w:rsidRPr="006E741B">
        <w:rPr>
          <w:b/>
          <w:sz w:val="26"/>
          <w:szCs w:val="20"/>
        </w:rPr>
        <w:t xml:space="preserve"> </w:t>
      </w:r>
      <w:r w:rsidR="00BC2B37">
        <w:rPr>
          <w:b/>
          <w:sz w:val="26"/>
          <w:szCs w:val="20"/>
        </w:rPr>
        <w:t xml:space="preserve">SỐ </w:t>
      </w:r>
      <w:r w:rsidR="00A64F09">
        <w:rPr>
          <w:b/>
          <w:sz w:val="26"/>
          <w:szCs w:val="20"/>
        </w:rPr>
        <w:t>40</w:t>
      </w:r>
      <w:r w:rsidR="00BC2B37">
        <w:rPr>
          <w:b/>
          <w:sz w:val="26"/>
          <w:szCs w:val="20"/>
        </w:rPr>
        <w:t xml:space="preserve">/PC-TT NGÀY </w:t>
      </w:r>
      <w:r w:rsidR="00A64F09">
        <w:rPr>
          <w:b/>
          <w:sz w:val="26"/>
          <w:szCs w:val="20"/>
        </w:rPr>
        <w:t>06</w:t>
      </w:r>
      <w:r w:rsidR="00BC2B37">
        <w:rPr>
          <w:b/>
          <w:sz w:val="26"/>
          <w:szCs w:val="20"/>
        </w:rPr>
        <w:t>/</w:t>
      </w:r>
      <w:r w:rsidR="00A64F09">
        <w:rPr>
          <w:b/>
          <w:sz w:val="26"/>
          <w:szCs w:val="20"/>
        </w:rPr>
        <w:t>5</w:t>
      </w:r>
      <w:r w:rsidR="00BC2B37">
        <w:rPr>
          <w:b/>
          <w:sz w:val="26"/>
          <w:szCs w:val="20"/>
        </w:rPr>
        <w:t>/20</w:t>
      </w:r>
      <w:r w:rsidR="00A64F09">
        <w:rPr>
          <w:b/>
          <w:sz w:val="26"/>
          <w:szCs w:val="20"/>
        </w:rPr>
        <w:t>20</w:t>
      </w:r>
    </w:p>
    <w:p w:rsidR="00680AD3" w:rsidRPr="006E741B" w:rsidRDefault="00A64F09" w:rsidP="00A64F09">
      <w:pPr>
        <w:spacing w:before="0"/>
        <w:jc w:val="center"/>
        <w:rPr>
          <w:b/>
          <w:sz w:val="26"/>
          <w:szCs w:val="20"/>
        </w:rPr>
      </w:pPr>
      <w:r>
        <w:rPr>
          <w:b/>
          <w:sz w:val="26"/>
          <w:szCs w:val="20"/>
        </w:rPr>
        <w:t>Thông tư h</w:t>
      </w:r>
      <w:r w:rsidRPr="00A64F09">
        <w:rPr>
          <w:b/>
          <w:sz w:val="26"/>
          <w:szCs w:val="20"/>
        </w:rPr>
        <w:t>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p w:rsidR="00680AD3" w:rsidRDefault="00680AD3" w:rsidP="00680AD3">
      <w:pPr>
        <w:jc w:val="center"/>
        <w:rPr>
          <w:i/>
          <w:sz w:val="26"/>
          <w:szCs w:val="26"/>
        </w:rPr>
      </w:pPr>
      <w:r w:rsidRPr="006E741B">
        <w:rPr>
          <w:i/>
          <w:sz w:val="26"/>
          <w:szCs w:val="26"/>
        </w:rPr>
        <w:t>(</w:t>
      </w:r>
      <w:r w:rsidR="00C5473C" w:rsidRPr="006E741B">
        <w:rPr>
          <w:i/>
          <w:sz w:val="26"/>
          <w:szCs w:val="26"/>
        </w:rPr>
        <w:t>Thay thế Thông tư liên tịch số 09/2016/TTLT-BGTVT-BTC ngày 10/5/2016</w:t>
      </w:r>
      <w:r w:rsidRPr="006E741B">
        <w:rPr>
          <w:i/>
          <w:sz w:val="26"/>
          <w:szCs w:val="26"/>
        </w:rPr>
        <w:t>)</w:t>
      </w:r>
    </w:p>
    <w:p w:rsidR="00BD483A" w:rsidRPr="006E741B" w:rsidRDefault="00BD483A" w:rsidP="00680AD3">
      <w:pPr>
        <w:jc w:val="center"/>
        <w:rPr>
          <w:i/>
          <w:sz w:val="26"/>
          <w:szCs w:val="26"/>
        </w:rPr>
      </w:pPr>
      <w:r>
        <w:rPr>
          <w:i/>
          <w:sz w:val="26"/>
          <w:szCs w:val="26"/>
        </w:rPr>
        <w:t>(Kèm theo Tờ trình số        /TTr-CĐSVN ngày     /5/2020)</w:t>
      </w:r>
    </w:p>
    <w:p w:rsidR="009F5FBC" w:rsidRPr="000C314C" w:rsidRDefault="009F5FBC">
      <w:pPr>
        <w:rPr>
          <w:sz w:val="30"/>
        </w:rPr>
      </w:pPr>
    </w:p>
    <w:tbl>
      <w:tblPr>
        <w:tblStyle w:val="TableGrid"/>
        <w:tblW w:w="14221" w:type="dxa"/>
        <w:tblInd w:w="392" w:type="dxa"/>
        <w:tblLook w:val="04A0" w:firstRow="1" w:lastRow="0" w:firstColumn="1" w:lastColumn="0" w:noHBand="0" w:noVBand="1"/>
      </w:tblPr>
      <w:tblGrid>
        <w:gridCol w:w="3421"/>
        <w:gridCol w:w="3485"/>
        <w:gridCol w:w="3962"/>
        <w:gridCol w:w="3353"/>
      </w:tblGrid>
      <w:tr w:rsidR="00813512" w:rsidRPr="004765B3" w:rsidTr="001D6A30">
        <w:trPr>
          <w:tblHeader/>
        </w:trPr>
        <w:tc>
          <w:tcPr>
            <w:tcW w:w="3421" w:type="dxa"/>
            <w:vAlign w:val="center"/>
          </w:tcPr>
          <w:p w:rsidR="00813512" w:rsidRPr="007E6B4B" w:rsidRDefault="00813512" w:rsidP="004765B3">
            <w:pPr>
              <w:spacing w:before="40" w:line="240" w:lineRule="auto"/>
              <w:ind w:left="57" w:right="57"/>
              <w:jc w:val="center"/>
              <w:rPr>
                <w:b/>
                <w:color w:val="0000CC"/>
                <w:sz w:val="24"/>
                <w:szCs w:val="24"/>
              </w:rPr>
            </w:pPr>
            <w:r w:rsidRPr="007E6B4B">
              <w:rPr>
                <w:b/>
                <w:color w:val="0000CC"/>
                <w:sz w:val="24"/>
                <w:szCs w:val="24"/>
              </w:rPr>
              <w:t>Nội dung Thông tư thay thế</w:t>
            </w:r>
          </w:p>
        </w:tc>
        <w:tc>
          <w:tcPr>
            <w:tcW w:w="3485" w:type="dxa"/>
            <w:vAlign w:val="center"/>
          </w:tcPr>
          <w:p w:rsidR="00813512" w:rsidRPr="004765B3" w:rsidRDefault="00813512" w:rsidP="00BC2B37">
            <w:pPr>
              <w:spacing w:before="0" w:line="240" w:lineRule="auto"/>
              <w:jc w:val="center"/>
              <w:rPr>
                <w:b/>
                <w:color w:val="0000CC"/>
                <w:sz w:val="24"/>
                <w:szCs w:val="24"/>
              </w:rPr>
            </w:pPr>
            <w:r w:rsidRPr="004765B3">
              <w:rPr>
                <w:b/>
                <w:color w:val="0000CC"/>
                <w:sz w:val="24"/>
                <w:szCs w:val="24"/>
              </w:rPr>
              <w:t>Ý kiế</w:t>
            </w:r>
            <w:r>
              <w:rPr>
                <w:b/>
                <w:color w:val="0000CC"/>
                <w:sz w:val="24"/>
                <w:szCs w:val="24"/>
              </w:rPr>
              <w:t xml:space="preserve">n </w:t>
            </w:r>
            <w:r w:rsidR="00BC2B37">
              <w:rPr>
                <w:b/>
                <w:color w:val="0000CC"/>
                <w:sz w:val="24"/>
                <w:szCs w:val="24"/>
              </w:rPr>
              <w:t>thẩm định</w:t>
            </w:r>
          </w:p>
        </w:tc>
        <w:tc>
          <w:tcPr>
            <w:tcW w:w="3962" w:type="dxa"/>
            <w:vAlign w:val="center"/>
          </w:tcPr>
          <w:p w:rsidR="00813512" w:rsidRPr="004765B3" w:rsidRDefault="00813512" w:rsidP="004765B3">
            <w:pPr>
              <w:spacing w:before="40" w:line="240" w:lineRule="auto"/>
              <w:ind w:left="57" w:right="57"/>
              <w:jc w:val="center"/>
              <w:rPr>
                <w:b/>
                <w:color w:val="0000CC"/>
                <w:sz w:val="24"/>
                <w:szCs w:val="24"/>
              </w:rPr>
            </w:pPr>
            <w:r>
              <w:rPr>
                <w:b/>
                <w:color w:val="0000CC"/>
                <w:sz w:val="24"/>
                <w:szCs w:val="24"/>
              </w:rPr>
              <w:t>Ý kiến</w:t>
            </w:r>
            <w:r w:rsidRPr="004765B3">
              <w:rPr>
                <w:b/>
                <w:color w:val="0000CC"/>
                <w:sz w:val="24"/>
                <w:szCs w:val="24"/>
              </w:rPr>
              <w:t xml:space="preserve"> giải trình</w:t>
            </w:r>
            <w:r>
              <w:rPr>
                <w:b/>
                <w:color w:val="0000CC"/>
                <w:sz w:val="24"/>
                <w:szCs w:val="24"/>
              </w:rPr>
              <w:t>, tiếp thu</w:t>
            </w:r>
          </w:p>
        </w:tc>
        <w:tc>
          <w:tcPr>
            <w:tcW w:w="3353" w:type="dxa"/>
          </w:tcPr>
          <w:p w:rsidR="00813512" w:rsidRDefault="00813512" w:rsidP="004765B3">
            <w:pPr>
              <w:spacing w:before="40" w:line="240" w:lineRule="auto"/>
              <w:ind w:left="57" w:right="57"/>
              <w:jc w:val="center"/>
              <w:rPr>
                <w:b/>
                <w:color w:val="0000CC"/>
                <w:sz w:val="24"/>
                <w:szCs w:val="24"/>
              </w:rPr>
            </w:pPr>
            <w:r>
              <w:rPr>
                <w:b/>
                <w:color w:val="0000CC"/>
                <w:sz w:val="24"/>
                <w:szCs w:val="24"/>
              </w:rPr>
              <w:t>Nội dung sau khi giải trình, tiếp thu</w:t>
            </w:r>
          </w:p>
        </w:tc>
      </w:tr>
      <w:tr w:rsidR="0069553F" w:rsidRPr="004765B3" w:rsidTr="001D6A30">
        <w:tc>
          <w:tcPr>
            <w:tcW w:w="3421" w:type="dxa"/>
          </w:tcPr>
          <w:p w:rsidR="00AE5377" w:rsidRDefault="00AE5377" w:rsidP="00AE5377">
            <w:pPr>
              <w:spacing w:before="40" w:line="240" w:lineRule="auto"/>
              <w:ind w:left="57" w:right="57" w:firstLine="252"/>
              <w:jc w:val="both"/>
              <w:rPr>
                <w:color w:val="0000CC"/>
                <w:sz w:val="24"/>
                <w:szCs w:val="24"/>
                <w:lang w:val="nl-NL"/>
              </w:rPr>
            </w:pPr>
            <w:r>
              <w:rPr>
                <w:color w:val="0000CC"/>
                <w:sz w:val="24"/>
                <w:szCs w:val="24"/>
                <w:lang w:val="nl-NL"/>
              </w:rPr>
              <w:t>Khoản 5 Điều 4</w:t>
            </w:r>
          </w:p>
          <w:p w:rsidR="0069553F" w:rsidRPr="007E6B4B" w:rsidRDefault="00AE5377" w:rsidP="00AE5377">
            <w:pPr>
              <w:spacing w:before="40" w:line="240" w:lineRule="auto"/>
              <w:ind w:left="57" w:right="57" w:firstLine="252"/>
              <w:jc w:val="both"/>
              <w:rPr>
                <w:b/>
                <w:color w:val="0000CC"/>
                <w:sz w:val="24"/>
                <w:szCs w:val="24"/>
                <w:lang w:val="nl-NL"/>
              </w:rPr>
            </w:pPr>
            <w:r>
              <w:rPr>
                <w:color w:val="0000CC"/>
                <w:sz w:val="24"/>
                <w:szCs w:val="24"/>
                <w:lang w:val="nl-NL"/>
              </w:rPr>
              <w:t>Công tác khác...</w:t>
            </w:r>
            <w:r w:rsidR="00A64F09" w:rsidRPr="00A64F09">
              <w:rPr>
                <w:color w:val="0000CC"/>
                <w:sz w:val="24"/>
                <w:szCs w:val="24"/>
                <w:lang w:val="nl-NL"/>
              </w:rPr>
              <w:t xml:space="preserve"> kiểm toán, quyết toán, tư vấn khác (trong trường hợp công trình thực hiện có yêu cầu hoặc khi cần thiết).</w:t>
            </w:r>
          </w:p>
        </w:tc>
        <w:tc>
          <w:tcPr>
            <w:tcW w:w="3485" w:type="dxa"/>
          </w:tcPr>
          <w:p w:rsidR="00BC2B37" w:rsidRDefault="00BC2B37" w:rsidP="004765B3">
            <w:pPr>
              <w:spacing w:before="40" w:line="240" w:lineRule="auto"/>
              <w:ind w:left="57" w:right="57" w:firstLine="260"/>
              <w:jc w:val="both"/>
              <w:rPr>
                <w:color w:val="0000CC"/>
                <w:sz w:val="24"/>
                <w:szCs w:val="24"/>
                <w:lang w:val="nl-NL"/>
              </w:rPr>
            </w:pPr>
            <w:r>
              <w:rPr>
                <w:color w:val="0000CC"/>
                <w:sz w:val="24"/>
                <w:szCs w:val="24"/>
                <w:lang w:val="nl-NL"/>
              </w:rPr>
              <w:t>Đề nghị sửa đổi thành:</w:t>
            </w:r>
          </w:p>
          <w:p w:rsidR="0069553F" w:rsidRPr="004765B3" w:rsidRDefault="00AE5377" w:rsidP="00BC2B37">
            <w:pPr>
              <w:spacing w:before="40" w:line="240" w:lineRule="auto"/>
              <w:ind w:left="57" w:right="57" w:firstLine="260"/>
              <w:jc w:val="both"/>
              <w:rPr>
                <w:color w:val="0000CC"/>
                <w:sz w:val="24"/>
                <w:szCs w:val="24"/>
                <w:lang w:val="nl-NL"/>
              </w:rPr>
            </w:pPr>
            <w:r>
              <w:rPr>
                <w:color w:val="0000CC"/>
                <w:sz w:val="24"/>
                <w:szCs w:val="24"/>
                <w:lang w:val="nl-NL"/>
              </w:rPr>
              <w:t>Công tác khác...</w:t>
            </w:r>
            <w:r w:rsidRPr="00A64F09">
              <w:rPr>
                <w:color w:val="0000CC"/>
                <w:sz w:val="24"/>
                <w:szCs w:val="24"/>
                <w:lang w:val="nl-NL"/>
              </w:rPr>
              <w:t xml:space="preserve"> kiểm toán, quyế</w:t>
            </w:r>
            <w:r>
              <w:rPr>
                <w:color w:val="0000CC"/>
                <w:sz w:val="24"/>
                <w:szCs w:val="24"/>
                <w:lang w:val="nl-NL"/>
              </w:rPr>
              <w:t>t toán và</w:t>
            </w:r>
            <w:r w:rsidRPr="00A64F09">
              <w:rPr>
                <w:color w:val="0000CC"/>
                <w:sz w:val="24"/>
                <w:szCs w:val="24"/>
                <w:lang w:val="nl-NL"/>
              </w:rPr>
              <w:t xml:space="preserve"> tư vấn khác (trong trường hợp công trình thực hiện có yêu cầu hoặc khi cần thiết).</w:t>
            </w:r>
          </w:p>
        </w:tc>
        <w:tc>
          <w:tcPr>
            <w:tcW w:w="3962" w:type="dxa"/>
          </w:tcPr>
          <w:p w:rsidR="0069553F" w:rsidRPr="004765B3" w:rsidRDefault="00BC2B37" w:rsidP="004765B3">
            <w:pPr>
              <w:spacing w:before="40" w:line="240" w:lineRule="auto"/>
              <w:ind w:left="57" w:right="57" w:firstLine="260"/>
              <w:jc w:val="both"/>
              <w:rPr>
                <w:color w:val="0000CC"/>
                <w:sz w:val="24"/>
                <w:szCs w:val="24"/>
                <w:lang w:val="nl-NL"/>
              </w:rPr>
            </w:pPr>
            <w:r>
              <w:rPr>
                <w:color w:val="0000CC"/>
                <w:sz w:val="24"/>
                <w:szCs w:val="24"/>
                <w:lang w:val="nl-NL"/>
              </w:rPr>
              <w:t>Tiếp thu</w:t>
            </w:r>
          </w:p>
        </w:tc>
        <w:tc>
          <w:tcPr>
            <w:tcW w:w="3353" w:type="dxa"/>
          </w:tcPr>
          <w:p w:rsidR="00AE5377" w:rsidRDefault="00AE5377" w:rsidP="00AE5377">
            <w:pPr>
              <w:spacing w:before="40" w:line="240" w:lineRule="auto"/>
              <w:ind w:left="57" w:right="57" w:firstLine="252"/>
              <w:jc w:val="both"/>
              <w:rPr>
                <w:color w:val="0000CC"/>
                <w:sz w:val="24"/>
                <w:szCs w:val="24"/>
                <w:lang w:val="nl-NL"/>
              </w:rPr>
            </w:pPr>
            <w:r>
              <w:rPr>
                <w:color w:val="0000CC"/>
                <w:sz w:val="24"/>
                <w:szCs w:val="24"/>
                <w:lang w:val="nl-NL"/>
              </w:rPr>
              <w:t>Khoản 5 Điều 4</w:t>
            </w:r>
          </w:p>
          <w:p w:rsidR="0069553F" w:rsidRPr="007E6B4B" w:rsidRDefault="00BD0C6E" w:rsidP="00BC2B37">
            <w:pPr>
              <w:spacing w:before="40" w:line="240" w:lineRule="auto"/>
              <w:ind w:left="57" w:right="57" w:firstLine="252"/>
              <w:jc w:val="both"/>
              <w:rPr>
                <w:b/>
                <w:color w:val="0000CC"/>
                <w:sz w:val="24"/>
                <w:szCs w:val="24"/>
                <w:lang w:val="nl-NL"/>
              </w:rPr>
            </w:pPr>
            <w:r w:rsidRPr="00BD0C6E">
              <w:rPr>
                <w:color w:val="0000CC"/>
                <w:sz w:val="24"/>
                <w:szCs w:val="24"/>
                <w:lang w:val="nl-NL"/>
              </w:rPr>
              <w:t>5. Công tác khác liên quan gồm: Quan trắc, kiểm định, thẩm tra, thẩm định, giám sát thi công, tư vấn lập dự án, tư vấn thiết kế, tư vấn giám sát, kiểm toán, quyết toán và tư vấn khác (trong trường hợp công trình thực hiện có yêu cầu hoặc khi cần thiết).</w:t>
            </w:r>
          </w:p>
        </w:tc>
      </w:tr>
      <w:tr w:rsidR="0069553F" w:rsidRPr="004765B3" w:rsidTr="001D6A30">
        <w:tc>
          <w:tcPr>
            <w:tcW w:w="3421" w:type="dxa"/>
          </w:tcPr>
          <w:p w:rsidR="00E10D11" w:rsidRDefault="00E10D11" w:rsidP="00E10D11">
            <w:pPr>
              <w:spacing w:before="40" w:line="240" w:lineRule="auto"/>
              <w:ind w:left="57" w:right="57" w:firstLine="252"/>
              <w:jc w:val="both"/>
              <w:rPr>
                <w:color w:val="0000CC"/>
                <w:sz w:val="24"/>
                <w:szCs w:val="24"/>
                <w:lang w:val="nl-NL"/>
              </w:rPr>
            </w:pPr>
            <w:r>
              <w:rPr>
                <w:color w:val="0000CC"/>
                <w:sz w:val="24"/>
                <w:szCs w:val="24"/>
                <w:lang w:val="nl-NL"/>
              </w:rPr>
              <w:t>Khoản 1 Điều 5</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1. Kết cấu giá đối với công tác bảo dưỡng thường xuyên kết cấu hạ tầng đường sắt thực hiện theo hướng dẫn tại Phụ lục số 01 kèm theo Thông tư này, bao gồm:</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 xml:space="preserve">a) Chi phí trực tiếp: </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 Chi phí nguyên, vật liệu, năng lượng;</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 Chi phí nhân công;</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 Chi phí máy và thiết bị thi công.</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lastRenderedPageBreak/>
              <w:t>b) Chi phí gián tiếp:</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 Chi phí chung;</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 xml:space="preserve">- Chi phí một số công việc chưa tính đủ trong công tác bảo dưỡng công trình. </w:t>
            </w:r>
          </w:p>
          <w:p w:rsidR="00245E48" w:rsidRPr="00245E48"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c) Thu nhập chịu thuế tính trước;</w:t>
            </w:r>
          </w:p>
          <w:p w:rsidR="00E10D11" w:rsidRDefault="00245E48" w:rsidP="00245E48">
            <w:pPr>
              <w:spacing w:before="40" w:line="240" w:lineRule="auto"/>
              <w:ind w:left="57" w:right="57" w:firstLine="252"/>
              <w:jc w:val="both"/>
              <w:rPr>
                <w:color w:val="0000CC"/>
                <w:sz w:val="24"/>
                <w:szCs w:val="24"/>
                <w:lang w:val="nl-NL"/>
              </w:rPr>
            </w:pPr>
            <w:r w:rsidRPr="00245E48">
              <w:rPr>
                <w:color w:val="0000CC"/>
                <w:sz w:val="24"/>
                <w:szCs w:val="24"/>
                <w:lang w:val="nl-NL"/>
              </w:rPr>
              <w:t>d) Thuế giá trị gia tăng.</w:t>
            </w:r>
          </w:p>
          <w:p w:rsidR="0069553F" w:rsidRPr="00E10D11" w:rsidRDefault="0069553F" w:rsidP="004765B3">
            <w:pPr>
              <w:spacing w:before="40" w:line="240" w:lineRule="auto"/>
              <w:ind w:left="57" w:right="57" w:firstLine="252"/>
              <w:jc w:val="both"/>
              <w:rPr>
                <w:color w:val="0000CC"/>
                <w:sz w:val="24"/>
                <w:szCs w:val="24"/>
                <w:lang w:val="nl-NL"/>
              </w:rPr>
            </w:pPr>
          </w:p>
        </w:tc>
        <w:tc>
          <w:tcPr>
            <w:tcW w:w="3485" w:type="dxa"/>
          </w:tcPr>
          <w:p w:rsidR="0069553F" w:rsidRPr="00E10D11" w:rsidRDefault="00E10D11" w:rsidP="00DA475A">
            <w:pPr>
              <w:spacing w:before="40" w:line="240" w:lineRule="auto"/>
              <w:ind w:left="57" w:right="57" w:firstLine="260"/>
              <w:jc w:val="both"/>
              <w:rPr>
                <w:color w:val="0000CC"/>
                <w:sz w:val="24"/>
                <w:szCs w:val="24"/>
                <w:lang w:val="nl-NL"/>
              </w:rPr>
            </w:pPr>
            <w:r>
              <w:rPr>
                <w:color w:val="0000CC"/>
                <w:sz w:val="24"/>
                <w:szCs w:val="24"/>
                <w:lang w:val="nl-NL"/>
              </w:rPr>
              <w:lastRenderedPageBreak/>
              <w:t xml:space="preserve">Đề nghị bỏ </w:t>
            </w:r>
            <w:r w:rsidR="00DA475A">
              <w:rPr>
                <w:color w:val="0000CC"/>
                <w:sz w:val="24"/>
                <w:szCs w:val="24"/>
                <w:lang w:val="nl-NL"/>
              </w:rPr>
              <w:t>các</w:t>
            </w:r>
            <w:r>
              <w:rPr>
                <w:color w:val="0000CC"/>
                <w:sz w:val="24"/>
                <w:szCs w:val="24"/>
                <w:lang w:val="nl-NL"/>
              </w:rPr>
              <w:t xml:space="preserve"> điểm trong khoản này cho tương đồng với khoản 2.</w:t>
            </w:r>
          </w:p>
        </w:tc>
        <w:tc>
          <w:tcPr>
            <w:tcW w:w="3962" w:type="dxa"/>
          </w:tcPr>
          <w:p w:rsidR="0069553F" w:rsidRPr="00E10D11" w:rsidRDefault="00E10D11" w:rsidP="004765B3">
            <w:pPr>
              <w:spacing w:before="40" w:line="240" w:lineRule="auto"/>
              <w:ind w:left="57" w:right="57" w:firstLine="260"/>
              <w:jc w:val="both"/>
              <w:rPr>
                <w:color w:val="0000CC"/>
                <w:sz w:val="24"/>
                <w:szCs w:val="24"/>
                <w:lang w:val="nl-NL"/>
              </w:rPr>
            </w:pPr>
            <w:r>
              <w:rPr>
                <w:color w:val="0000CC"/>
                <w:sz w:val="24"/>
                <w:szCs w:val="24"/>
                <w:lang w:val="nl-NL"/>
              </w:rPr>
              <w:t>Tiếp thu</w:t>
            </w:r>
          </w:p>
        </w:tc>
        <w:tc>
          <w:tcPr>
            <w:tcW w:w="3353" w:type="dxa"/>
          </w:tcPr>
          <w:p w:rsidR="0069553F" w:rsidRPr="00E10D11" w:rsidRDefault="00245E48" w:rsidP="00156B4B">
            <w:pPr>
              <w:spacing w:before="40" w:line="240" w:lineRule="auto"/>
              <w:ind w:left="57" w:right="57" w:firstLine="252"/>
              <w:jc w:val="both"/>
              <w:rPr>
                <w:color w:val="0000CC"/>
                <w:sz w:val="24"/>
                <w:szCs w:val="24"/>
                <w:lang w:val="nl-NL"/>
              </w:rPr>
            </w:pPr>
            <w:r w:rsidRPr="00245E48">
              <w:rPr>
                <w:color w:val="0000CC"/>
                <w:sz w:val="24"/>
                <w:szCs w:val="24"/>
                <w:lang w:val="nl-NL"/>
              </w:rPr>
              <w:t>1. Kết cấu giá đối với công tác bảo dưỡng thường xuyên kết cấu hạ tầng đường sắt thực hiện theo hướng dẫn tại Phụ lục số 01 kèm theo Thông tư này</w:t>
            </w:r>
            <w:r>
              <w:rPr>
                <w:color w:val="0000CC"/>
                <w:sz w:val="24"/>
                <w:szCs w:val="24"/>
                <w:lang w:val="nl-NL"/>
              </w:rPr>
              <w:t>.</w:t>
            </w:r>
          </w:p>
        </w:tc>
      </w:tr>
      <w:tr w:rsidR="00245E48" w:rsidRPr="004765B3" w:rsidTr="001D6A30">
        <w:tc>
          <w:tcPr>
            <w:tcW w:w="3421" w:type="dxa"/>
          </w:tcPr>
          <w:p w:rsidR="00245E48" w:rsidRDefault="00444421" w:rsidP="00E10D11">
            <w:pPr>
              <w:spacing w:before="40" w:line="240" w:lineRule="auto"/>
              <w:ind w:left="57" w:right="57" w:firstLine="252"/>
              <w:jc w:val="both"/>
              <w:rPr>
                <w:color w:val="0000CC"/>
                <w:sz w:val="24"/>
                <w:szCs w:val="24"/>
                <w:lang w:val="nl-NL"/>
              </w:rPr>
            </w:pPr>
            <w:r>
              <w:rPr>
                <w:color w:val="0000CC"/>
                <w:sz w:val="24"/>
                <w:szCs w:val="24"/>
                <w:lang w:val="nl-NL"/>
              </w:rPr>
              <w:lastRenderedPageBreak/>
              <w:t>Khoản 3 Điều 6</w:t>
            </w:r>
          </w:p>
          <w:p w:rsidR="00444421" w:rsidRDefault="00444421" w:rsidP="00E10D11">
            <w:pPr>
              <w:spacing w:before="40" w:line="240" w:lineRule="auto"/>
              <w:ind w:left="57" w:right="57" w:firstLine="252"/>
              <w:jc w:val="both"/>
              <w:rPr>
                <w:color w:val="0000CC"/>
                <w:sz w:val="24"/>
                <w:szCs w:val="24"/>
                <w:lang w:val="nl-NL"/>
              </w:rPr>
            </w:pPr>
            <w:r w:rsidRPr="00444421">
              <w:rPr>
                <w:color w:val="0000CC"/>
                <w:sz w:val="24"/>
                <w:szCs w:val="24"/>
                <w:lang w:val="nl-NL"/>
              </w:rPr>
              <w:t>3. Năm 2021, trong khi định mức xây dựng chưa được ban hành:</w:t>
            </w:r>
          </w:p>
        </w:tc>
        <w:tc>
          <w:tcPr>
            <w:tcW w:w="3485" w:type="dxa"/>
          </w:tcPr>
          <w:p w:rsidR="00245E48" w:rsidRDefault="00444421" w:rsidP="004765B3">
            <w:pPr>
              <w:spacing w:before="40" w:line="240" w:lineRule="auto"/>
              <w:ind w:left="57" w:right="57" w:firstLine="260"/>
              <w:jc w:val="both"/>
              <w:rPr>
                <w:color w:val="0000CC"/>
                <w:sz w:val="24"/>
                <w:szCs w:val="24"/>
                <w:lang w:val="nl-NL"/>
              </w:rPr>
            </w:pPr>
            <w:r>
              <w:rPr>
                <w:color w:val="0000CC"/>
                <w:sz w:val="24"/>
                <w:szCs w:val="24"/>
                <w:lang w:val="nl-NL"/>
              </w:rPr>
              <w:t>Đề nghị sửa lại như sau:</w:t>
            </w:r>
          </w:p>
          <w:p w:rsidR="00444421" w:rsidRDefault="00444421" w:rsidP="004765B3">
            <w:pPr>
              <w:spacing w:before="40" w:line="240" w:lineRule="auto"/>
              <w:ind w:left="57" w:right="57" w:firstLine="260"/>
              <w:jc w:val="both"/>
              <w:rPr>
                <w:color w:val="0000CC"/>
                <w:sz w:val="24"/>
                <w:szCs w:val="24"/>
                <w:lang w:val="nl-NL"/>
              </w:rPr>
            </w:pPr>
            <w:r>
              <w:rPr>
                <w:color w:val="0000CC"/>
                <w:sz w:val="24"/>
                <w:szCs w:val="24"/>
                <w:lang w:val="nl-NL"/>
              </w:rPr>
              <w:t>3. Việc xác định chi phí quản lý kết cấu hạ tầng đường sắt trong trường hợp định mức xây dựng chưa được ban hành trong năm 2021 được xác định như sau:</w:t>
            </w:r>
          </w:p>
        </w:tc>
        <w:tc>
          <w:tcPr>
            <w:tcW w:w="3962" w:type="dxa"/>
          </w:tcPr>
          <w:p w:rsidR="00245E48" w:rsidRDefault="00444421" w:rsidP="004765B3">
            <w:pPr>
              <w:spacing w:before="40" w:line="240" w:lineRule="auto"/>
              <w:ind w:left="57" w:right="57" w:firstLine="260"/>
              <w:jc w:val="both"/>
              <w:rPr>
                <w:color w:val="0000CC"/>
                <w:sz w:val="24"/>
                <w:szCs w:val="24"/>
                <w:lang w:val="nl-NL"/>
              </w:rPr>
            </w:pPr>
            <w:r>
              <w:rPr>
                <w:color w:val="0000CC"/>
                <w:sz w:val="24"/>
                <w:szCs w:val="24"/>
                <w:lang w:val="nl-NL"/>
              </w:rPr>
              <w:t>Tiếp thu</w:t>
            </w:r>
          </w:p>
        </w:tc>
        <w:tc>
          <w:tcPr>
            <w:tcW w:w="3353" w:type="dxa"/>
          </w:tcPr>
          <w:p w:rsidR="00245E48" w:rsidRPr="00245E48" w:rsidRDefault="00444421" w:rsidP="000058C7">
            <w:pPr>
              <w:spacing w:before="40" w:line="240" w:lineRule="auto"/>
              <w:ind w:left="57" w:right="57" w:firstLine="252"/>
              <w:jc w:val="both"/>
              <w:rPr>
                <w:color w:val="0000CC"/>
                <w:sz w:val="24"/>
                <w:szCs w:val="24"/>
                <w:lang w:val="nl-NL"/>
              </w:rPr>
            </w:pPr>
            <w:r>
              <w:rPr>
                <w:color w:val="0000CC"/>
                <w:sz w:val="24"/>
                <w:szCs w:val="24"/>
                <w:lang w:val="nl-NL"/>
              </w:rPr>
              <w:t xml:space="preserve">3. </w:t>
            </w:r>
            <w:bookmarkStart w:id="0" w:name="_GoBack"/>
            <w:bookmarkEnd w:id="0"/>
            <w:r w:rsidR="000058C7" w:rsidRPr="000058C7">
              <w:rPr>
                <w:color w:val="0000CC"/>
                <w:sz w:val="24"/>
                <w:szCs w:val="24"/>
                <w:lang w:val="nl-NL"/>
              </w:rPr>
              <w:t>Chi phí quản lý kết cấu hạ tầng đường sắt trong năm 2021 khi định mức chưa ban hành được xác định như sau:</w:t>
            </w:r>
          </w:p>
        </w:tc>
      </w:tr>
      <w:tr w:rsidR="00145597" w:rsidRPr="004765B3" w:rsidTr="001D6A30">
        <w:tc>
          <w:tcPr>
            <w:tcW w:w="3421" w:type="dxa"/>
          </w:tcPr>
          <w:p w:rsidR="00145597" w:rsidRDefault="00145597" w:rsidP="00E10D11">
            <w:pPr>
              <w:spacing w:before="40" w:line="240" w:lineRule="auto"/>
              <w:ind w:left="57" w:right="57" w:firstLine="252"/>
              <w:jc w:val="both"/>
              <w:rPr>
                <w:color w:val="0000CC"/>
                <w:sz w:val="24"/>
                <w:szCs w:val="24"/>
                <w:lang w:val="nl-NL"/>
              </w:rPr>
            </w:pPr>
            <w:r>
              <w:rPr>
                <w:color w:val="0000CC"/>
                <w:sz w:val="24"/>
                <w:szCs w:val="24"/>
                <w:lang w:val="nl-NL"/>
              </w:rPr>
              <w:t>Điểm b khoản 1 Điều 7</w:t>
            </w:r>
          </w:p>
          <w:p w:rsidR="00145597" w:rsidRDefault="00145597" w:rsidP="00E10D11">
            <w:pPr>
              <w:spacing w:before="40" w:line="240" w:lineRule="auto"/>
              <w:ind w:left="57" w:right="57" w:firstLine="252"/>
              <w:jc w:val="both"/>
              <w:rPr>
                <w:color w:val="0000CC"/>
                <w:sz w:val="24"/>
                <w:szCs w:val="24"/>
                <w:lang w:val="nl-NL"/>
              </w:rPr>
            </w:pPr>
            <w:r w:rsidRPr="00145597">
              <w:rPr>
                <w:color w:val="0000CC"/>
                <w:sz w:val="24"/>
                <w:szCs w:val="24"/>
                <w:lang w:val="nl-NL"/>
              </w:rPr>
              <w:t>b) Chi phí quản lý công tác đặt hàng dịch vụ sự nghiệp công xác định theo định mức tỷ lệ phần trăm (%) (ban hành tại Phụ lục số 03 kèm theo Thông tư này) nhân với tổng kinh phí bảo dưỡng thường xuyên chưa có thuế giá trị gia tăng;</w:t>
            </w:r>
          </w:p>
        </w:tc>
        <w:tc>
          <w:tcPr>
            <w:tcW w:w="3485" w:type="dxa"/>
          </w:tcPr>
          <w:p w:rsidR="00145597" w:rsidRDefault="00145597" w:rsidP="004765B3">
            <w:pPr>
              <w:spacing w:before="40" w:line="240" w:lineRule="auto"/>
              <w:ind w:left="57" w:right="57" w:firstLine="260"/>
              <w:jc w:val="both"/>
              <w:rPr>
                <w:color w:val="0000CC"/>
                <w:sz w:val="24"/>
                <w:szCs w:val="24"/>
                <w:lang w:val="nl-NL"/>
              </w:rPr>
            </w:pPr>
            <w:r>
              <w:rPr>
                <w:color w:val="0000CC"/>
                <w:sz w:val="24"/>
                <w:szCs w:val="24"/>
                <w:lang w:val="nl-NL"/>
              </w:rPr>
              <w:t>Đề nghị sửa thành</w:t>
            </w:r>
          </w:p>
          <w:p w:rsidR="00145597" w:rsidRDefault="00145597" w:rsidP="00145597">
            <w:pPr>
              <w:spacing w:before="40" w:line="240" w:lineRule="auto"/>
              <w:ind w:left="57" w:right="57" w:firstLine="260"/>
              <w:jc w:val="both"/>
              <w:rPr>
                <w:color w:val="0000CC"/>
                <w:sz w:val="24"/>
                <w:szCs w:val="24"/>
                <w:lang w:val="nl-NL"/>
              </w:rPr>
            </w:pPr>
            <w:r w:rsidRPr="00145597">
              <w:rPr>
                <w:color w:val="0000CC"/>
                <w:sz w:val="24"/>
                <w:szCs w:val="24"/>
                <w:lang w:val="nl-NL"/>
              </w:rPr>
              <w:t>b) Chi phí quản lý công tác đặt hàng dịch vụ sự nghiệp công xác định theo định mức tỷ lệ phần trăm (%)</w:t>
            </w:r>
            <w:r>
              <w:rPr>
                <w:color w:val="0000CC"/>
                <w:sz w:val="24"/>
                <w:szCs w:val="24"/>
                <w:lang w:val="nl-NL"/>
              </w:rPr>
              <w:t xml:space="preserve"> </w:t>
            </w:r>
            <w:r w:rsidRPr="00145597">
              <w:rPr>
                <w:color w:val="0000CC"/>
                <w:sz w:val="24"/>
                <w:szCs w:val="24"/>
                <w:lang w:val="nl-NL"/>
              </w:rPr>
              <w:t>nhân với tổng kinh phí bảo dưỡng thường xuyên chưa có thuế giá trị gia tăng</w:t>
            </w:r>
            <w:r>
              <w:rPr>
                <w:color w:val="0000CC"/>
                <w:sz w:val="24"/>
                <w:szCs w:val="24"/>
                <w:lang w:val="nl-NL"/>
              </w:rPr>
              <w:t xml:space="preserve"> thực hiện theo Bảng 1 Phụ lục số 03 kèm theo Thông tư này</w:t>
            </w:r>
            <w:r w:rsidRPr="00145597">
              <w:rPr>
                <w:color w:val="0000CC"/>
                <w:sz w:val="24"/>
                <w:szCs w:val="24"/>
                <w:lang w:val="nl-NL"/>
              </w:rPr>
              <w:t>;</w:t>
            </w:r>
          </w:p>
        </w:tc>
        <w:tc>
          <w:tcPr>
            <w:tcW w:w="3962" w:type="dxa"/>
          </w:tcPr>
          <w:p w:rsidR="00145597" w:rsidRDefault="00145597" w:rsidP="004765B3">
            <w:pPr>
              <w:spacing w:before="40" w:line="240" w:lineRule="auto"/>
              <w:ind w:left="57" w:right="57" w:firstLine="260"/>
              <w:jc w:val="both"/>
              <w:rPr>
                <w:color w:val="0000CC"/>
                <w:sz w:val="24"/>
                <w:szCs w:val="24"/>
                <w:lang w:val="nl-NL"/>
              </w:rPr>
            </w:pPr>
            <w:r>
              <w:rPr>
                <w:color w:val="0000CC"/>
                <w:sz w:val="24"/>
                <w:szCs w:val="24"/>
                <w:lang w:val="nl-NL"/>
              </w:rPr>
              <w:t>Tiếp thu một phần với lý do: Phụ lục số 03 chỉ đưa ra mức tỷ lệ %, do đó cần quy định rõ để tránh nhầm lẫn khi áp dụng.</w:t>
            </w:r>
          </w:p>
        </w:tc>
        <w:tc>
          <w:tcPr>
            <w:tcW w:w="3353" w:type="dxa"/>
          </w:tcPr>
          <w:p w:rsidR="00145597" w:rsidRDefault="00145597" w:rsidP="00145597">
            <w:pPr>
              <w:spacing w:before="40" w:line="240" w:lineRule="auto"/>
              <w:ind w:left="57" w:right="57" w:firstLine="252"/>
              <w:jc w:val="both"/>
              <w:rPr>
                <w:color w:val="0000CC"/>
                <w:sz w:val="24"/>
                <w:szCs w:val="24"/>
                <w:lang w:val="nl-NL"/>
              </w:rPr>
            </w:pPr>
            <w:r w:rsidRPr="00145597">
              <w:rPr>
                <w:color w:val="0000CC"/>
                <w:sz w:val="24"/>
                <w:szCs w:val="24"/>
                <w:lang w:val="nl-NL"/>
              </w:rPr>
              <w:t>b) Chi phí quản lý công tác đặt hàng dịch vụ sự nghiệp công xác định theo định mức tỷ lệ phần trăm (%)</w:t>
            </w:r>
            <w:r>
              <w:rPr>
                <w:color w:val="0000CC"/>
                <w:sz w:val="24"/>
                <w:szCs w:val="24"/>
                <w:lang w:val="nl-NL"/>
              </w:rPr>
              <w:t xml:space="preserve"> </w:t>
            </w:r>
            <w:r w:rsidRPr="00145597">
              <w:rPr>
                <w:color w:val="0000CC"/>
                <w:sz w:val="24"/>
                <w:szCs w:val="24"/>
                <w:lang w:val="nl-NL"/>
              </w:rPr>
              <w:t xml:space="preserve">tại </w:t>
            </w:r>
            <w:r>
              <w:rPr>
                <w:color w:val="0000CC"/>
                <w:sz w:val="24"/>
                <w:szCs w:val="24"/>
                <w:lang w:val="nl-NL"/>
              </w:rPr>
              <w:t xml:space="preserve">Bảng 1 </w:t>
            </w:r>
            <w:r w:rsidRPr="00145597">
              <w:rPr>
                <w:color w:val="0000CC"/>
                <w:sz w:val="24"/>
                <w:szCs w:val="24"/>
                <w:lang w:val="nl-NL"/>
              </w:rPr>
              <w:t xml:space="preserve">Phụ lục số 03 </w:t>
            </w:r>
            <w:r>
              <w:rPr>
                <w:color w:val="0000CC"/>
                <w:sz w:val="24"/>
                <w:szCs w:val="24"/>
                <w:lang w:val="nl-NL"/>
              </w:rPr>
              <w:t xml:space="preserve">ban hành </w:t>
            </w:r>
            <w:r w:rsidRPr="00145597">
              <w:rPr>
                <w:color w:val="0000CC"/>
                <w:sz w:val="24"/>
                <w:szCs w:val="24"/>
                <w:lang w:val="nl-NL"/>
              </w:rPr>
              <w:t>kèm theo Thông tư này nhân với tổng kinh phí bảo dưỡng thường xuyên chưa có thuế giá trị gia tăng;</w:t>
            </w:r>
          </w:p>
        </w:tc>
      </w:tr>
      <w:tr w:rsidR="00145597" w:rsidRPr="004765B3" w:rsidTr="001D6A30">
        <w:tc>
          <w:tcPr>
            <w:tcW w:w="3421" w:type="dxa"/>
          </w:tcPr>
          <w:p w:rsidR="00145597" w:rsidRDefault="00145597" w:rsidP="00E10D11">
            <w:pPr>
              <w:spacing w:before="40" w:line="240" w:lineRule="auto"/>
              <w:ind w:left="57" w:right="57" w:firstLine="252"/>
              <w:jc w:val="both"/>
              <w:rPr>
                <w:color w:val="0000CC"/>
                <w:sz w:val="24"/>
                <w:szCs w:val="24"/>
                <w:lang w:val="nl-NL"/>
              </w:rPr>
            </w:pPr>
            <w:r>
              <w:rPr>
                <w:color w:val="0000CC"/>
                <w:sz w:val="24"/>
                <w:szCs w:val="24"/>
                <w:lang w:val="nl-NL"/>
              </w:rPr>
              <w:t>Khoản 2 Điều 8</w:t>
            </w:r>
          </w:p>
          <w:p w:rsidR="00145597" w:rsidRDefault="00287746" w:rsidP="00E10D11">
            <w:pPr>
              <w:spacing w:before="40" w:line="240" w:lineRule="auto"/>
              <w:ind w:left="57" w:right="57" w:firstLine="252"/>
              <w:jc w:val="both"/>
              <w:rPr>
                <w:color w:val="0000CC"/>
                <w:sz w:val="24"/>
                <w:szCs w:val="24"/>
                <w:lang w:val="nl-NL"/>
              </w:rPr>
            </w:pPr>
            <w:r w:rsidRPr="00287746">
              <w:rPr>
                <w:color w:val="0000CC"/>
                <w:sz w:val="24"/>
                <w:szCs w:val="24"/>
                <w:lang w:val="nl-NL"/>
              </w:rPr>
              <w:t xml:space="preserve">Chi phí giám sát công tác bảo dưỡng thường xuyên xác định theo định mức tỷ lệ phần </w:t>
            </w:r>
            <w:r w:rsidRPr="00287746">
              <w:rPr>
                <w:color w:val="0000CC"/>
                <w:sz w:val="24"/>
                <w:szCs w:val="24"/>
                <w:lang w:val="nl-NL"/>
              </w:rPr>
              <w:lastRenderedPageBreak/>
              <w:t>trăm (%) (ban hành tại Phụ lục số 03 kèm theo Thông tư này) nhân với tổng kinh phí bảo dưỡng thường xuyên chưa có thuế giá trị gia tăng.</w:t>
            </w:r>
          </w:p>
        </w:tc>
        <w:tc>
          <w:tcPr>
            <w:tcW w:w="3485" w:type="dxa"/>
          </w:tcPr>
          <w:p w:rsidR="00145597" w:rsidRDefault="00145597" w:rsidP="004765B3">
            <w:pPr>
              <w:spacing w:before="40" w:line="240" w:lineRule="auto"/>
              <w:ind w:left="57" w:right="57" w:firstLine="260"/>
              <w:jc w:val="both"/>
              <w:rPr>
                <w:color w:val="0000CC"/>
                <w:sz w:val="24"/>
                <w:szCs w:val="24"/>
                <w:lang w:val="nl-NL"/>
              </w:rPr>
            </w:pPr>
            <w:r>
              <w:rPr>
                <w:color w:val="0000CC"/>
                <w:sz w:val="24"/>
                <w:szCs w:val="24"/>
                <w:lang w:val="nl-NL"/>
              </w:rPr>
              <w:lastRenderedPageBreak/>
              <w:t>Đề nghị sửa như điểm b khoản 1 Điều 7</w:t>
            </w:r>
          </w:p>
        </w:tc>
        <w:tc>
          <w:tcPr>
            <w:tcW w:w="3962" w:type="dxa"/>
          </w:tcPr>
          <w:p w:rsidR="00145597" w:rsidRDefault="00145597" w:rsidP="004765B3">
            <w:pPr>
              <w:spacing w:before="40" w:line="240" w:lineRule="auto"/>
              <w:ind w:left="57" w:right="57" w:firstLine="260"/>
              <w:jc w:val="both"/>
              <w:rPr>
                <w:color w:val="0000CC"/>
                <w:sz w:val="24"/>
                <w:szCs w:val="24"/>
                <w:lang w:val="nl-NL"/>
              </w:rPr>
            </w:pPr>
            <w:r>
              <w:rPr>
                <w:color w:val="0000CC"/>
                <w:sz w:val="24"/>
                <w:szCs w:val="24"/>
                <w:lang w:val="nl-NL"/>
              </w:rPr>
              <w:t>Tiếp thu một phần với lý do: Phụ lục số 03 chỉ đưa ra mức tỷ lệ %, do đó cần quy định rõ để tránh nhầm lẫn khi áp dụng.</w:t>
            </w:r>
          </w:p>
        </w:tc>
        <w:tc>
          <w:tcPr>
            <w:tcW w:w="3353" w:type="dxa"/>
          </w:tcPr>
          <w:p w:rsidR="00145597" w:rsidRPr="00145597" w:rsidRDefault="00287746" w:rsidP="00287746">
            <w:pPr>
              <w:spacing w:before="40" w:line="240" w:lineRule="auto"/>
              <w:ind w:left="57" w:right="57" w:firstLine="252"/>
              <w:jc w:val="both"/>
              <w:rPr>
                <w:color w:val="0000CC"/>
                <w:sz w:val="24"/>
                <w:szCs w:val="24"/>
                <w:lang w:val="nl-NL"/>
              </w:rPr>
            </w:pPr>
            <w:r w:rsidRPr="00287746">
              <w:rPr>
                <w:color w:val="0000CC"/>
                <w:sz w:val="24"/>
                <w:szCs w:val="24"/>
                <w:lang w:val="nl-NL"/>
              </w:rPr>
              <w:t>Chi phí giám sát công tác bảo dưỡng thường xuyên xác định theo định mức tỷ lệ phần trăm (%)</w:t>
            </w:r>
            <w:r>
              <w:rPr>
                <w:color w:val="0000CC"/>
                <w:sz w:val="24"/>
                <w:szCs w:val="24"/>
                <w:lang w:val="nl-NL"/>
              </w:rPr>
              <w:t xml:space="preserve"> </w:t>
            </w:r>
            <w:r w:rsidRPr="00287746">
              <w:rPr>
                <w:color w:val="0000CC"/>
                <w:sz w:val="24"/>
                <w:szCs w:val="24"/>
                <w:lang w:val="nl-NL"/>
              </w:rPr>
              <w:t xml:space="preserve">tại </w:t>
            </w:r>
            <w:r>
              <w:rPr>
                <w:color w:val="0000CC"/>
                <w:sz w:val="24"/>
                <w:szCs w:val="24"/>
                <w:lang w:val="nl-NL"/>
              </w:rPr>
              <w:t xml:space="preserve">Bảng 2 </w:t>
            </w:r>
            <w:r w:rsidRPr="00287746">
              <w:rPr>
                <w:color w:val="0000CC"/>
                <w:sz w:val="24"/>
                <w:szCs w:val="24"/>
                <w:lang w:val="nl-NL"/>
              </w:rPr>
              <w:t xml:space="preserve">Phụ lục số </w:t>
            </w:r>
            <w:r w:rsidRPr="00287746">
              <w:rPr>
                <w:color w:val="0000CC"/>
                <w:sz w:val="24"/>
                <w:szCs w:val="24"/>
                <w:lang w:val="nl-NL"/>
              </w:rPr>
              <w:lastRenderedPageBreak/>
              <w:t xml:space="preserve">03 </w:t>
            </w:r>
            <w:r>
              <w:rPr>
                <w:color w:val="0000CC"/>
                <w:sz w:val="24"/>
                <w:szCs w:val="24"/>
                <w:lang w:val="nl-NL"/>
              </w:rPr>
              <w:t xml:space="preserve">ban hành </w:t>
            </w:r>
            <w:r w:rsidRPr="00287746">
              <w:rPr>
                <w:color w:val="0000CC"/>
                <w:sz w:val="24"/>
                <w:szCs w:val="24"/>
                <w:lang w:val="nl-NL"/>
              </w:rPr>
              <w:t>kèm theo Thông tư này nhân với tổng kinh phí bảo dưỡng thường xuyên chưa có thuế giá trị gia tăng.</w:t>
            </w:r>
          </w:p>
        </w:tc>
      </w:tr>
      <w:tr w:rsidR="007A4675" w:rsidRPr="004765B3" w:rsidTr="001D6A30">
        <w:tc>
          <w:tcPr>
            <w:tcW w:w="3421" w:type="dxa"/>
          </w:tcPr>
          <w:p w:rsidR="007A4675" w:rsidRDefault="007A4675" w:rsidP="00E10D11">
            <w:pPr>
              <w:spacing w:before="40" w:line="240" w:lineRule="auto"/>
              <w:ind w:left="57" w:right="57" w:firstLine="252"/>
              <w:jc w:val="both"/>
              <w:rPr>
                <w:color w:val="0000CC"/>
                <w:sz w:val="24"/>
                <w:szCs w:val="24"/>
                <w:lang w:val="nl-NL"/>
              </w:rPr>
            </w:pPr>
            <w:r>
              <w:rPr>
                <w:color w:val="0000CC"/>
                <w:sz w:val="24"/>
                <w:szCs w:val="24"/>
                <w:lang w:val="nl-NL"/>
              </w:rPr>
              <w:lastRenderedPageBreak/>
              <w:t>Đối với nội dung Tờ trình</w:t>
            </w:r>
          </w:p>
        </w:tc>
        <w:tc>
          <w:tcPr>
            <w:tcW w:w="3485" w:type="dxa"/>
          </w:tcPr>
          <w:p w:rsidR="007A4675" w:rsidRDefault="007A4675" w:rsidP="004765B3">
            <w:pPr>
              <w:spacing w:before="40" w:line="240" w:lineRule="auto"/>
              <w:ind w:left="57" w:right="57" w:firstLine="260"/>
              <w:jc w:val="both"/>
              <w:rPr>
                <w:color w:val="0000CC"/>
                <w:sz w:val="24"/>
                <w:szCs w:val="24"/>
                <w:lang w:val="nl-NL"/>
              </w:rPr>
            </w:pPr>
            <w:r>
              <w:rPr>
                <w:color w:val="0000CC"/>
                <w:sz w:val="24"/>
                <w:szCs w:val="24"/>
                <w:lang w:val="nl-NL"/>
              </w:rPr>
              <w:t>Đề nghị:</w:t>
            </w:r>
          </w:p>
          <w:p w:rsidR="007A4675" w:rsidRDefault="007A4675" w:rsidP="004765B3">
            <w:pPr>
              <w:spacing w:before="40" w:line="240" w:lineRule="auto"/>
              <w:ind w:left="57" w:right="57" w:firstLine="260"/>
              <w:jc w:val="both"/>
              <w:rPr>
                <w:color w:val="0000CC"/>
                <w:sz w:val="24"/>
                <w:szCs w:val="24"/>
                <w:lang w:val="nl-NL"/>
              </w:rPr>
            </w:pPr>
            <w:r>
              <w:rPr>
                <w:color w:val="0000CC"/>
                <w:sz w:val="24"/>
                <w:szCs w:val="24"/>
                <w:lang w:val="nl-NL"/>
              </w:rPr>
              <w:t>- Bổ sung mục đích, quan điểm xây dựng dự thảo Thông tư.</w:t>
            </w:r>
          </w:p>
          <w:p w:rsidR="007A4675" w:rsidRDefault="007A4675" w:rsidP="004765B3">
            <w:pPr>
              <w:spacing w:before="40" w:line="240" w:lineRule="auto"/>
              <w:ind w:left="57" w:right="57" w:firstLine="260"/>
              <w:jc w:val="both"/>
              <w:rPr>
                <w:color w:val="0000CC"/>
                <w:sz w:val="24"/>
                <w:szCs w:val="24"/>
                <w:lang w:val="nl-NL"/>
              </w:rPr>
            </w:pPr>
            <w:r>
              <w:rPr>
                <w:color w:val="0000CC"/>
                <w:sz w:val="24"/>
                <w:szCs w:val="24"/>
                <w:lang w:val="nl-NL"/>
              </w:rPr>
              <w:t>- Mục I đề nghị chia làm 02 nội dung: Sự phù hợp với các văn bản QPPL và các tồn tại, bất cập trong quá trình thực hiện.</w:t>
            </w:r>
          </w:p>
        </w:tc>
        <w:tc>
          <w:tcPr>
            <w:tcW w:w="3962" w:type="dxa"/>
          </w:tcPr>
          <w:p w:rsidR="007A4675" w:rsidRDefault="007A4675" w:rsidP="004765B3">
            <w:pPr>
              <w:spacing w:before="40" w:line="240" w:lineRule="auto"/>
              <w:ind w:left="57" w:right="57" w:firstLine="260"/>
              <w:jc w:val="both"/>
              <w:rPr>
                <w:color w:val="0000CC"/>
                <w:sz w:val="24"/>
                <w:szCs w:val="24"/>
                <w:lang w:val="nl-NL"/>
              </w:rPr>
            </w:pPr>
            <w:r>
              <w:rPr>
                <w:color w:val="0000CC"/>
                <w:sz w:val="24"/>
                <w:szCs w:val="24"/>
                <w:lang w:val="nl-NL"/>
              </w:rPr>
              <w:t>Tiếp thu và chỉnh sửa nội dung dự thảo Tờ trình</w:t>
            </w:r>
            <w:r w:rsidR="00DF50D4">
              <w:rPr>
                <w:color w:val="0000CC"/>
                <w:sz w:val="24"/>
                <w:szCs w:val="24"/>
                <w:lang w:val="nl-NL"/>
              </w:rPr>
              <w:t>.</w:t>
            </w:r>
          </w:p>
        </w:tc>
        <w:tc>
          <w:tcPr>
            <w:tcW w:w="3353" w:type="dxa"/>
          </w:tcPr>
          <w:p w:rsidR="007A4675" w:rsidRPr="00287746" w:rsidRDefault="007A4675" w:rsidP="00287746">
            <w:pPr>
              <w:spacing w:before="40" w:line="240" w:lineRule="auto"/>
              <w:ind w:left="57" w:right="57" w:firstLine="252"/>
              <w:jc w:val="both"/>
              <w:rPr>
                <w:color w:val="0000CC"/>
                <w:sz w:val="24"/>
                <w:szCs w:val="24"/>
                <w:lang w:val="nl-NL"/>
              </w:rPr>
            </w:pPr>
          </w:p>
        </w:tc>
      </w:tr>
    </w:tbl>
    <w:p w:rsidR="00F62B19" w:rsidRPr="00921EE0" w:rsidRDefault="008A5E55" w:rsidP="001D6A30">
      <w:pPr>
        <w:rPr>
          <w:sz w:val="30"/>
        </w:rPr>
      </w:pPr>
      <w:r>
        <w:rPr>
          <w:sz w:val="30"/>
          <w:lang w:val="nl-NL"/>
        </w:rPr>
        <w:t xml:space="preserve"> </w:t>
      </w:r>
    </w:p>
    <w:sectPr w:rsidR="00F62B19" w:rsidRPr="00921EE0" w:rsidSect="00BD483A">
      <w:footerReference w:type="default" r:id="rId8"/>
      <w:pgSz w:w="16840" w:h="11907" w:orient="landscape"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27" w:rsidRDefault="00565F27" w:rsidP="000C314C">
      <w:pPr>
        <w:spacing w:before="0" w:line="240" w:lineRule="auto"/>
      </w:pPr>
      <w:r>
        <w:separator/>
      </w:r>
    </w:p>
  </w:endnote>
  <w:endnote w:type="continuationSeparator" w:id="0">
    <w:p w:rsidR="00565F27" w:rsidRDefault="00565F27" w:rsidP="000C31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08461"/>
      <w:docPartObj>
        <w:docPartGallery w:val="Page Numbers (Bottom of Page)"/>
        <w:docPartUnique/>
      </w:docPartObj>
    </w:sdtPr>
    <w:sdtEndPr>
      <w:rPr>
        <w:noProof/>
      </w:rPr>
    </w:sdtEndPr>
    <w:sdtContent>
      <w:p w:rsidR="009A491E" w:rsidRDefault="00BD483A" w:rsidP="00BD483A">
        <w:pPr>
          <w:pStyle w:val="Footer"/>
          <w:jc w:val="center"/>
        </w:pPr>
        <w:r>
          <w:fldChar w:fldCharType="begin"/>
        </w:r>
        <w:r>
          <w:instrText xml:space="preserve"> PAGE   \* MERGEFORMAT </w:instrText>
        </w:r>
        <w:r>
          <w:fldChar w:fldCharType="separate"/>
        </w:r>
        <w:r w:rsidR="000058C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27" w:rsidRDefault="00565F27" w:rsidP="000C314C">
      <w:pPr>
        <w:spacing w:before="0" w:line="240" w:lineRule="auto"/>
      </w:pPr>
      <w:r>
        <w:separator/>
      </w:r>
    </w:p>
  </w:footnote>
  <w:footnote w:type="continuationSeparator" w:id="0">
    <w:p w:rsidR="00565F27" w:rsidRDefault="00565F27" w:rsidP="000C314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D3"/>
    <w:rsid w:val="000058C7"/>
    <w:rsid w:val="000075E3"/>
    <w:rsid w:val="0001409B"/>
    <w:rsid w:val="000318DC"/>
    <w:rsid w:val="00057A41"/>
    <w:rsid w:val="000659C0"/>
    <w:rsid w:val="00083A49"/>
    <w:rsid w:val="00094CAC"/>
    <w:rsid w:val="000A1DEE"/>
    <w:rsid w:val="000C0FC3"/>
    <w:rsid w:val="000C314C"/>
    <w:rsid w:val="000D7A2B"/>
    <w:rsid w:val="000E6058"/>
    <w:rsid w:val="00102581"/>
    <w:rsid w:val="00104BA1"/>
    <w:rsid w:val="00105248"/>
    <w:rsid w:val="0010756C"/>
    <w:rsid w:val="001136FD"/>
    <w:rsid w:val="00116E53"/>
    <w:rsid w:val="0013776E"/>
    <w:rsid w:val="00145597"/>
    <w:rsid w:val="001604FB"/>
    <w:rsid w:val="0017003A"/>
    <w:rsid w:val="00197BED"/>
    <w:rsid w:val="001A1649"/>
    <w:rsid w:val="001A180A"/>
    <w:rsid w:val="001D6A30"/>
    <w:rsid w:val="001F0A92"/>
    <w:rsid w:val="00203660"/>
    <w:rsid w:val="00245E48"/>
    <w:rsid w:val="00246F75"/>
    <w:rsid w:val="0024747C"/>
    <w:rsid w:val="00250712"/>
    <w:rsid w:val="002550E4"/>
    <w:rsid w:val="00286A8F"/>
    <w:rsid w:val="00287746"/>
    <w:rsid w:val="00290FA7"/>
    <w:rsid w:val="00291BF6"/>
    <w:rsid w:val="002A2E3E"/>
    <w:rsid w:val="002D065E"/>
    <w:rsid w:val="0030731F"/>
    <w:rsid w:val="00330FA5"/>
    <w:rsid w:val="00334E30"/>
    <w:rsid w:val="00353C79"/>
    <w:rsid w:val="00365058"/>
    <w:rsid w:val="0037692B"/>
    <w:rsid w:val="0038615F"/>
    <w:rsid w:val="00394215"/>
    <w:rsid w:val="003A2B7F"/>
    <w:rsid w:val="003B11B0"/>
    <w:rsid w:val="003C1B2A"/>
    <w:rsid w:val="003D7523"/>
    <w:rsid w:val="00404A35"/>
    <w:rsid w:val="004202A7"/>
    <w:rsid w:val="00427072"/>
    <w:rsid w:val="00432A72"/>
    <w:rsid w:val="00434403"/>
    <w:rsid w:val="00442C8E"/>
    <w:rsid w:val="00444421"/>
    <w:rsid w:val="00444C36"/>
    <w:rsid w:val="00457F90"/>
    <w:rsid w:val="004608F5"/>
    <w:rsid w:val="0047247E"/>
    <w:rsid w:val="004765B3"/>
    <w:rsid w:val="00497FCD"/>
    <w:rsid w:val="004E68D1"/>
    <w:rsid w:val="004F0B06"/>
    <w:rsid w:val="004F17F1"/>
    <w:rsid w:val="004F576E"/>
    <w:rsid w:val="00501765"/>
    <w:rsid w:val="005474A4"/>
    <w:rsid w:val="005611AE"/>
    <w:rsid w:val="00565F27"/>
    <w:rsid w:val="00571B05"/>
    <w:rsid w:val="00584BD5"/>
    <w:rsid w:val="005971FE"/>
    <w:rsid w:val="005B24BF"/>
    <w:rsid w:val="005B2E5A"/>
    <w:rsid w:val="005B527D"/>
    <w:rsid w:val="005B5536"/>
    <w:rsid w:val="005C7887"/>
    <w:rsid w:val="005E15E7"/>
    <w:rsid w:val="006031B7"/>
    <w:rsid w:val="00615F98"/>
    <w:rsid w:val="00624A4E"/>
    <w:rsid w:val="006376F5"/>
    <w:rsid w:val="006623FB"/>
    <w:rsid w:val="00680AD3"/>
    <w:rsid w:val="00680C9B"/>
    <w:rsid w:val="00682BE5"/>
    <w:rsid w:val="006870C9"/>
    <w:rsid w:val="0069553F"/>
    <w:rsid w:val="006B2EFE"/>
    <w:rsid w:val="006E597C"/>
    <w:rsid w:val="006E741B"/>
    <w:rsid w:val="0070219B"/>
    <w:rsid w:val="00704357"/>
    <w:rsid w:val="007112EA"/>
    <w:rsid w:val="00740DF7"/>
    <w:rsid w:val="007416FC"/>
    <w:rsid w:val="007565A3"/>
    <w:rsid w:val="00765D61"/>
    <w:rsid w:val="007668A0"/>
    <w:rsid w:val="00767F54"/>
    <w:rsid w:val="00770055"/>
    <w:rsid w:val="00771281"/>
    <w:rsid w:val="00776D5F"/>
    <w:rsid w:val="007946DB"/>
    <w:rsid w:val="007A40F3"/>
    <w:rsid w:val="007A4675"/>
    <w:rsid w:val="007D4DA5"/>
    <w:rsid w:val="007E103A"/>
    <w:rsid w:val="007E6B4B"/>
    <w:rsid w:val="0080457D"/>
    <w:rsid w:val="00813512"/>
    <w:rsid w:val="00827B79"/>
    <w:rsid w:val="00854599"/>
    <w:rsid w:val="00855FB7"/>
    <w:rsid w:val="008674B6"/>
    <w:rsid w:val="00887E2D"/>
    <w:rsid w:val="008A4F3E"/>
    <w:rsid w:val="008A5E55"/>
    <w:rsid w:val="008B632B"/>
    <w:rsid w:val="008C098C"/>
    <w:rsid w:val="008D1CCE"/>
    <w:rsid w:val="008D240B"/>
    <w:rsid w:val="008D7CBA"/>
    <w:rsid w:val="00901D31"/>
    <w:rsid w:val="00921EE0"/>
    <w:rsid w:val="009521BE"/>
    <w:rsid w:val="009543F2"/>
    <w:rsid w:val="009631D6"/>
    <w:rsid w:val="009666CA"/>
    <w:rsid w:val="00971D43"/>
    <w:rsid w:val="009A491E"/>
    <w:rsid w:val="009A733A"/>
    <w:rsid w:val="009B554C"/>
    <w:rsid w:val="009C0212"/>
    <w:rsid w:val="009C401D"/>
    <w:rsid w:val="009D0A40"/>
    <w:rsid w:val="009D410C"/>
    <w:rsid w:val="009D767A"/>
    <w:rsid w:val="009F0701"/>
    <w:rsid w:val="009F32F1"/>
    <w:rsid w:val="009F5FBC"/>
    <w:rsid w:val="00A0015C"/>
    <w:rsid w:val="00A03E8E"/>
    <w:rsid w:val="00A3608B"/>
    <w:rsid w:val="00A425AF"/>
    <w:rsid w:val="00A43D23"/>
    <w:rsid w:val="00A44634"/>
    <w:rsid w:val="00A518CA"/>
    <w:rsid w:val="00A60EC3"/>
    <w:rsid w:val="00A64F09"/>
    <w:rsid w:val="00A7529A"/>
    <w:rsid w:val="00A96A28"/>
    <w:rsid w:val="00AA6C85"/>
    <w:rsid w:val="00AD1557"/>
    <w:rsid w:val="00AE5377"/>
    <w:rsid w:val="00AE6569"/>
    <w:rsid w:val="00AE68A3"/>
    <w:rsid w:val="00B038D9"/>
    <w:rsid w:val="00B15745"/>
    <w:rsid w:val="00B4204C"/>
    <w:rsid w:val="00B60228"/>
    <w:rsid w:val="00B63E13"/>
    <w:rsid w:val="00B65EEF"/>
    <w:rsid w:val="00B75120"/>
    <w:rsid w:val="00B91FB7"/>
    <w:rsid w:val="00BC06AF"/>
    <w:rsid w:val="00BC2B37"/>
    <w:rsid w:val="00BD02BA"/>
    <w:rsid w:val="00BD0C6E"/>
    <w:rsid w:val="00BD483A"/>
    <w:rsid w:val="00BE6EE3"/>
    <w:rsid w:val="00BF5784"/>
    <w:rsid w:val="00C04F88"/>
    <w:rsid w:val="00C338F5"/>
    <w:rsid w:val="00C5473C"/>
    <w:rsid w:val="00C55481"/>
    <w:rsid w:val="00C55D76"/>
    <w:rsid w:val="00C6494C"/>
    <w:rsid w:val="00C66612"/>
    <w:rsid w:val="00C712BA"/>
    <w:rsid w:val="00C72007"/>
    <w:rsid w:val="00C723A7"/>
    <w:rsid w:val="00C744C0"/>
    <w:rsid w:val="00C85F1C"/>
    <w:rsid w:val="00C929AD"/>
    <w:rsid w:val="00C97659"/>
    <w:rsid w:val="00CA1F14"/>
    <w:rsid w:val="00CA7365"/>
    <w:rsid w:val="00CA7B39"/>
    <w:rsid w:val="00CD7A1C"/>
    <w:rsid w:val="00CE5257"/>
    <w:rsid w:val="00D2058F"/>
    <w:rsid w:val="00D43978"/>
    <w:rsid w:val="00D8086A"/>
    <w:rsid w:val="00D97493"/>
    <w:rsid w:val="00DA294D"/>
    <w:rsid w:val="00DA475A"/>
    <w:rsid w:val="00DC1DA4"/>
    <w:rsid w:val="00DD03DD"/>
    <w:rsid w:val="00DF0D95"/>
    <w:rsid w:val="00DF50D4"/>
    <w:rsid w:val="00E10D11"/>
    <w:rsid w:val="00E21737"/>
    <w:rsid w:val="00E306E4"/>
    <w:rsid w:val="00E814D9"/>
    <w:rsid w:val="00E856E7"/>
    <w:rsid w:val="00E919B1"/>
    <w:rsid w:val="00EA6409"/>
    <w:rsid w:val="00EE10CF"/>
    <w:rsid w:val="00EE5FC3"/>
    <w:rsid w:val="00EF3D45"/>
    <w:rsid w:val="00F36167"/>
    <w:rsid w:val="00F44C12"/>
    <w:rsid w:val="00F62B19"/>
    <w:rsid w:val="00F64FA6"/>
    <w:rsid w:val="00F7325E"/>
    <w:rsid w:val="00F74C39"/>
    <w:rsid w:val="00F77D51"/>
    <w:rsid w:val="00F85471"/>
    <w:rsid w:val="00F976F7"/>
    <w:rsid w:val="00F97F61"/>
    <w:rsid w:val="00FA3BE4"/>
    <w:rsid w:val="00FA67A8"/>
    <w:rsid w:val="00FB248C"/>
    <w:rsid w:val="00FB34AD"/>
    <w:rsid w:val="00FD31E3"/>
    <w:rsid w:val="00FE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9"/>
    <w:pPr>
      <w:spacing w:before="120" w:after="0" w:line="234" w:lineRule="atLeast"/>
      <w:ind w:firstLine="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D3"/>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euChar">
    <w:name w:val="dieu Char"/>
    <w:rsid w:val="00680AD3"/>
    <w:rPr>
      <w:b/>
      <w:noProof w:val="0"/>
      <w:color w:val="0000FF"/>
      <w:sz w:val="26"/>
      <w:lang w:val="en-US" w:eastAsia="en-US" w:bidi="ar-SA"/>
    </w:rPr>
  </w:style>
  <w:style w:type="paragraph" w:styleId="Header">
    <w:name w:val="header"/>
    <w:basedOn w:val="Normal"/>
    <w:link w:val="HeaderChar"/>
    <w:uiPriority w:val="99"/>
    <w:unhideWhenUsed/>
    <w:rsid w:val="000C314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314C"/>
    <w:rPr>
      <w:szCs w:val="28"/>
    </w:rPr>
  </w:style>
  <w:style w:type="paragraph" w:styleId="Footer">
    <w:name w:val="footer"/>
    <w:basedOn w:val="Normal"/>
    <w:link w:val="FooterChar"/>
    <w:uiPriority w:val="99"/>
    <w:unhideWhenUsed/>
    <w:rsid w:val="000C314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314C"/>
    <w:rPr>
      <w:szCs w:val="28"/>
    </w:rPr>
  </w:style>
  <w:style w:type="paragraph" w:styleId="ListParagraph">
    <w:name w:val="List Paragraph"/>
    <w:basedOn w:val="Normal"/>
    <w:uiPriority w:val="34"/>
    <w:qFormat/>
    <w:rsid w:val="008C0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9"/>
    <w:pPr>
      <w:spacing w:before="120" w:after="0" w:line="234" w:lineRule="atLeast"/>
      <w:ind w:firstLine="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D3"/>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euChar">
    <w:name w:val="dieu Char"/>
    <w:rsid w:val="00680AD3"/>
    <w:rPr>
      <w:b/>
      <w:noProof w:val="0"/>
      <w:color w:val="0000FF"/>
      <w:sz w:val="26"/>
      <w:lang w:val="en-US" w:eastAsia="en-US" w:bidi="ar-SA"/>
    </w:rPr>
  </w:style>
  <w:style w:type="paragraph" w:styleId="Header">
    <w:name w:val="header"/>
    <w:basedOn w:val="Normal"/>
    <w:link w:val="HeaderChar"/>
    <w:uiPriority w:val="99"/>
    <w:unhideWhenUsed/>
    <w:rsid w:val="000C314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314C"/>
    <w:rPr>
      <w:szCs w:val="28"/>
    </w:rPr>
  </w:style>
  <w:style w:type="paragraph" w:styleId="Footer">
    <w:name w:val="footer"/>
    <w:basedOn w:val="Normal"/>
    <w:link w:val="FooterChar"/>
    <w:uiPriority w:val="99"/>
    <w:unhideWhenUsed/>
    <w:rsid w:val="000C314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314C"/>
    <w:rPr>
      <w:szCs w:val="28"/>
    </w:rPr>
  </w:style>
  <w:style w:type="paragraph" w:styleId="ListParagraph">
    <w:name w:val="List Paragraph"/>
    <w:basedOn w:val="Normal"/>
    <w:uiPriority w:val="34"/>
    <w:qFormat/>
    <w:rsid w:val="008C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3448">
      <w:bodyDiv w:val="1"/>
      <w:marLeft w:val="0"/>
      <w:marRight w:val="0"/>
      <w:marTop w:val="0"/>
      <w:marBottom w:val="0"/>
      <w:divBdr>
        <w:top w:val="none" w:sz="0" w:space="0" w:color="auto"/>
        <w:left w:val="none" w:sz="0" w:space="0" w:color="auto"/>
        <w:bottom w:val="none" w:sz="0" w:space="0" w:color="auto"/>
        <w:right w:val="none" w:sz="0" w:space="0" w:color="auto"/>
      </w:divBdr>
      <w:divsChild>
        <w:div w:id="1284338869">
          <w:marLeft w:val="0"/>
          <w:marRight w:val="0"/>
          <w:marTop w:val="0"/>
          <w:marBottom w:val="120"/>
          <w:divBdr>
            <w:top w:val="none" w:sz="0" w:space="0" w:color="auto"/>
            <w:left w:val="none" w:sz="0" w:space="0" w:color="auto"/>
            <w:bottom w:val="none" w:sz="0" w:space="0" w:color="auto"/>
            <w:right w:val="none" w:sz="0" w:space="0" w:color="auto"/>
          </w:divBdr>
        </w:div>
        <w:div w:id="1563327048">
          <w:marLeft w:val="0"/>
          <w:marRight w:val="0"/>
          <w:marTop w:val="0"/>
          <w:marBottom w:val="120"/>
          <w:divBdr>
            <w:top w:val="none" w:sz="0" w:space="0" w:color="auto"/>
            <w:left w:val="none" w:sz="0" w:space="0" w:color="auto"/>
            <w:bottom w:val="none" w:sz="0" w:space="0" w:color="auto"/>
            <w:right w:val="none" w:sz="0" w:space="0" w:color="auto"/>
          </w:divBdr>
        </w:div>
        <w:div w:id="1344044007">
          <w:marLeft w:val="0"/>
          <w:marRight w:val="0"/>
          <w:marTop w:val="0"/>
          <w:marBottom w:val="120"/>
          <w:divBdr>
            <w:top w:val="none" w:sz="0" w:space="0" w:color="auto"/>
            <w:left w:val="none" w:sz="0" w:space="0" w:color="auto"/>
            <w:bottom w:val="none" w:sz="0" w:space="0" w:color="auto"/>
            <w:right w:val="none" w:sz="0" w:space="0" w:color="auto"/>
          </w:divBdr>
        </w:div>
        <w:div w:id="1993560158">
          <w:marLeft w:val="0"/>
          <w:marRight w:val="0"/>
          <w:marTop w:val="0"/>
          <w:marBottom w:val="120"/>
          <w:divBdr>
            <w:top w:val="none" w:sz="0" w:space="0" w:color="auto"/>
            <w:left w:val="none" w:sz="0" w:space="0" w:color="auto"/>
            <w:bottom w:val="none" w:sz="0" w:space="0" w:color="auto"/>
            <w:right w:val="none" w:sz="0" w:space="0" w:color="auto"/>
          </w:divBdr>
        </w:div>
        <w:div w:id="1241135757">
          <w:marLeft w:val="0"/>
          <w:marRight w:val="0"/>
          <w:marTop w:val="0"/>
          <w:marBottom w:val="120"/>
          <w:divBdr>
            <w:top w:val="none" w:sz="0" w:space="0" w:color="auto"/>
            <w:left w:val="none" w:sz="0" w:space="0" w:color="auto"/>
            <w:bottom w:val="none" w:sz="0" w:space="0" w:color="auto"/>
            <w:right w:val="none" w:sz="0" w:space="0" w:color="auto"/>
          </w:divBdr>
        </w:div>
        <w:div w:id="1439372347">
          <w:marLeft w:val="0"/>
          <w:marRight w:val="0"/>
          <w:marTop w:val="0"/>
          <w:marBottom w:val="120"/>
          <w:divBdr>
            <w:top w:val="none" w:sz="0" w:space="0" w:color="auto"/>
            <w:left w:val="none" w:sz="0" w:space="0" w:color="auto"/>
            <w:bottom w:val="none" w:sz="0" w:space="0" w:color="auto"/>
            <w:right w:val="none" w:sz="0" w:space="0" w:color="auto"/>
          </w:divBdr>
        </w:div>
        <w:div w:id="478303211">
          <w:marLeft w:val="0"/>
          <w:marRight w:val="0"/>
          <w:marTop w:val="0"/>
          <w:marBottom w:val="120"/>
          <w:divBdr>
            <w:top w:val="none" w:sz="0" w:space="0" w:color="auto"/>
            <w:left w:val="none" w:sz="0" w:space="0" w:color="auto"/>
            <w:bottom w:val="none" w:sz="0" w:space="0" w:color="auto"/>
            <w:right w:val="none" w:sz="0" w:space="0" w:color="auto"/>
          </w:divBdr>
        </w:div>
        <w:div w:id="1836336003">
          <w:marLeft w:val="0"/>
          <w:marRight w:val="0"/>
          <w:marTop w:val="0"/>
          <w:marBottom w:val="120"/>
          <w:divBdr>
            <w:top w:val="none" w:sz="0" w:space="0" w:color="auto"/>
            <w:left w:val="none" w:sz="0" w:space="0" w:color="auto"/>
            <w:bottom w:val="none" w:sz="0" w:space="0" w:color="auto"/>
            <w:right w:val="none" w:sz="0" w:space="0" w:color="auto"/>
          </w:divBdr>
        </w:div>
        <w:div w:id="183786575">
          <w:marLeft w:val="0"/>
          <w:marRight w:val="0"/>
          <w:marTop w:val="0"/>
          <w:marBottom w:val="120"/>
          <w:divBdr>
            <w:top w:val="none" w:sz="0" w:space="0" w:color="auto"/>
            <w:left w:val="none" w:sz="0" w:space="0" w:color="auto"/>
            <w:bottom w:val="none" w:sz="0" w:space="0" w:color="auto"/>
            <w:right w:val="none" w:sz="0" w:space="0" w:color="auto"/>
          </w:divBdr>
        </w:div>
        <w:div w:id="1617130817">
          <w:marLeft w:val="0"/>
          <w:marRight w:val="0"/>
          <w:marTop w:val="0"/>
          <w:marBottom w:val="120"/>
          <w:divBdr>
            <w:top w:val="none" w:sz="0" w:space="0" w:color="auto"/>
            <w:left w:val="none" w:sz="0" w:space="0" w:color="auto"/>
            <w:bottom w:val="none" w:sz="0" w:space="0" w:color="auto"/>
            <w:right w:val="none" w:sz="0" w:space="0" w:color="auto"/>
          </w:divBdr>
        </w:div>
        <w:div w:id="1623727680">
          <w:marLeft w:val="0"/>
          <w:marRight w:val="0"/>
          <w:marTop w:val="0"/>
          <w:marBottom w:val="120"/>
          <w:divBdr>
            <w:top w:val="none" w:sz="0" w:space="0" w:color="auto"/>
            <w:left w:val="none" w:sz="0" w:space="0" w:color="auto"/>
            <w:bottom w:val="none" w:sz="0" w:space="0" w:color="auto"/>
            <w:right w:val="none" w:sz="0" w:space="0" w:color="auto"/>
          </w:divBdr>
        </w:div>
        <w:div w:id="366294814">
          <w:marLeft w:val="0"/>
          <w:marRight w:val="0"/>
          <w:marTop w:val="0"/>
          <w:marBottom w:val="120"/>
          <w:divBdr>
            <w:top w:val="none" w:sz="0" w:space="0" w:color="auto"/>
            <w:left w:val="none" w:sz="0" w:space="0" w:color="auto"/>
            <w:bottom w:val="none" w:sz="0" w:space="0" w:color="auto"/>
            <w:right w:val="none" w:sz="0" w:space="0" w:color="auto"/>
          </w:divBdr>
        </w:div>
        <w:div w:id="2621084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5DC1-4F97-46C3-A093-60F6CEF0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72</cp:revision>
  <cp:lastPrinted>2020-05-06T09:31:00Z</cp:lastPrinted>
  <dcterms:created xsi:type="dcterms:W3CDTF">2018-10-09T02:12:00Z</dcterms:created>
  <dcterms:modified xsi:type="dcterms:W3CDTF">2020-05-07T06:59:00Z</dcterms:modified>
</cp:coreProperties>
</file>